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66CCF" w14:textId="77777777" w:rsidR="00E867EB" w:rsidRPr="00E867EB" w:rsidRDefault="00E867EB" w:rsidP="00E867EB">
      <w:pPr>
        <w:rPr>
          <w:b/>
          <w:bCs/>
        </w:rPr>
      </w:pPr>
      <w:r w:rsidRPr="00E867EB">
        <w:rPr>
          <w:b/>
          <w:bCs/>
        </w:rPr>
        <w:t>EU AI Act: Advanced Expert Guide</w:t>
      </w:r>
    </w:p>
    <w:p w14:paraId="3959016A" w14:textId="77777777" w:rsidR="00E867EB" w:rsidRPr="00E867EB" w:rsidRDefault="00E867EB" w:rsidP="00E867EB">
      <w:r w:rsidRPr="00E867EB">
        <w:rPr>
          <w:b/>
          <w:bCs/>
        </w:rPr>
        <w:t>For legal counsel, technical leads, DPOs, GPAI model providers, and compliance consultants navigating procedural complexity, cross-regulatory intersections, and enforcement mechanics</w:t>
      </w:r>
    </w:p>
    <w:p w14:paraId="26980C89" w14:textId="77777777" w:rsidR="00E867EB" w:rsidRPr="00E867EB" w:rsidRDefault="00E867EB" w:rsidP="00E867EB">
      <w:r w:rsidRPr="00E867EB">
        <w:pict w14:anchorId="1D866545">
          <v:rect id="_x0000_i1097" style="width:0;height:.75pt" o:hralign="center" o:hrstd="t" o:hr="t" fillcolor="#a0a0a0" stroked="f"/>
        </w:pict>
      </w:r>
    </w:p>
    <w:p w14:paraId="3225B31F" w14:textId="77777777" w:rsidR="00E867EB" w:rsidRPr="00E867EB" w:rsidRDefault="00E867EB" w:rsidP="00E867EB">
      <w:pPr>
        <w:rPr>
          <w:b/>
          <w:bCs/>
        </w:rPr>
      </w:pPr>
      <w:r w:rsidRPr="00E867EB">
        <w:rPr>
          <w:b/>
          <w:bCs/>
        </w:rPr>
        <w:t>How This Tab Differs from the Practitioner Guide</w:t>
      </w:r>
    </w:p>
    <w:p w14:paraId="6B556D72" w14:textId="77777777" w:rsidR="00E867EB" w:rsidRPr="00E867EB" w:rsidRDefault="00E867EB" w:rsidP="00E867EB">
      <w:r w:rsidRPr="00E867EB">
        <w:t>The intermediate tab answers “what do I need to do and when?” This tab answers “how do I actually execute the hard parts, and what happens when it gets complicated?”</w:t>
      </w:r>
    </w:p>
    <w:p w14:paraId="4754AFAA" w14:textId="77777777" w:rsidR="00E867EB" w:rsidRPr="00E867EB" w:rsidRDefault="00E867EB" w:rsidP="00E867EB">
      <w:r w:rsidRPr="00E867EB">
        <w:t xml:space="preserve">Every section addresses a point where practitioners </w:t>
      </w:r>
      <w:proofErr w:type="gramStart"/>
      <w:r w:rsidRPr="00E867EB">
        <w:t>say</w:t>
      </w:r>
      <w:proofErr w:type="gramEnd"/>
      <w:r w:rsidRPr="00E867EB">
        <w:t xml:space="preserve"> “I understand the requirement, but I don’t know how to do this.” The content covers intersections between regulatory frameworks, procedural specifics that determine pass or fail in conformity assessments, and the edge cases that create real compliance exposure.</w:t>
      </w:r>
    </w:p>
    <w:p w14:paraId="16E3F356" w14:textId="77777777" w:rsidR="00E867EB" w:rsidRPr="00E867EB" w:rsidRDefault="00E867EB" w:rsidP="00E867EB">
      <w:r w:rsidRPr="00E867EB">
        <w:t>All Article references link to the official regulation text. Where implementing guidance or delegated acts are still pending, that gap is noted explicitly.</w:t>
      </w:r>
    </w:p>
    <w:p w14:paraId="41FAF745" w14:textId="77777777" w:rsidR="00E867EB" w:rsidRPr="00E867EB" w:rsidRDefault="00E867EB" w:rsidP="00E867EB">
      <w:r w:rsidRPr="00E867EB">
        <w:pict w14:anchorId="47E7BB64">
          <v:rect id="_x0000_i1098" style="width:0;height:.75pt" o:hralign="center" o:hrstd="t" o:hr="t" fillcolor="#a0a0a0" stroked="f"/>
        </w:pict>
      </w:r>
    </w:p>
    <w:p w14:paraId="53ECE16A" w14:textId="77777777" w:rsidR="00E867EB" w:rsidRPr="00E867EB" w:rsidRDefault="00E867EB" w:rsidP="00E867EB">
      <w:pPr>
        <w:rPr>
          <w:b/>
          <w:bCs/>
        </w:rPr>
      </w:pPr>
      <w:r w:rsidRPr="00E867EB">
        <w:rPr>
          <w:b/>
          <w:bCs/>
        </w:rPr>
        <w:t>1. Conformity Assessment: Procedural Deep Dive</w:t>
      </w:r>
    </w:p>
    <w:p w14:paraId="4190870F" w14:textId="77777777" w:rsidR="00E867EB" w:rsidRPr="00E867EB" w:rsidRDefault="00E867EB" w:rsidP="00E867EB">
      <w:r w:rsidRPr="00E867EB">
        <w:t xml:space="preserve">The intermediate tab provides a decision framework for conformity assessment. This section walks through what </w:t>
      </w:r>
      <w:proofErr w:type="gramStart"/>
      <w:r w:rsidRPr="00E867EB">
        <w:t>actually happens</w:t>
      </w:r>
      <w:proofErr w:type="gramEnd"/>
      <w:r w:rsidRPr="00E867EB">
        <w:t xml:space="preserve"> inside each procedure, where providers get tripped up, and the substantial modification trigger that can restart the process.</w:t>
      </w:r>
    </w:p>
    <w:p w14:paraId="609A2556" w14:textId="77777777" w:rsidR="00E867EB" w:rsidRPr="00E867EB" w:rsidRDefault="00E867EB" w:rsidP="00E867EB">
      <w:pPr>
        <w:rPr>
          <w:b/>
          <w:bCs/>
        </w:rPr>
      </w:pPr>
      <w:r w:rsidRPr="00E867EB">
        <w:rPr>
          <w:b/>
          <w:bCs/>
        </w:rPr>
        <w:t>1.1 Which Procedure Applies?</w:t>
      </w:r>
    </w:p>
    <w:p w14:paraId="14973ABF" w14:textId="77777777" w:rsidR="00E867EB" w:rsidRPr="00E867EB" w:rsidRDefault="00E867EB" w:rsidP="00E867EB">
      <w:hyperlink r:id="rId5" w:tgtFrame="_blank" w:history="1">
        <w:r w:rsidRPr="00E867EB">
          <w:rPr>
            <w:rStyle w:val="Hyperlink"/>
          </w:rPr>
          <w:t>Article 43</w:t>
        </w:r>
      </w:hyperlink>
      <w:r w:rsidRPr="00E867EB">
        <w:t> creates three distinct paths depending on how your system is classified:</w:t>
      </w:r>
    </w:p>
    <w:p w14:paraId="08B57773" w14:textId="77777777" w:rsidR="00E867EB" w:rsidRPr="00E867EB" w:rsidRDefault="00E867EB" w:rsidP="00E867EB">
      <w:r w:rsidRPr="00E867EB">
        <w:rPr>
          <w:b/>
          <w:bCs/>
        </w:rPr>
        <w:t>Path A: Annex III, Point 1 systems (biometrics)</w:t>
      </w:r>
    </w:p>
    <w:p w14:paraId="34B423E3" w14:textId="77777777" w:rsidR="00E867EB" w:rsidRPr="00E867EB" w:rsidRDefault="00E867EB" w:rsidP="00E867EB">
      <w:r w:rsidRPr="00E867EB">
        <w:t>High-risk AI systems in the area of biometric identification and categorization of natural persons have two options under </w:t>
      </w:r>
      <w:hyperlink r:id="rId6" w:tgtFrame="_blank" w:history="1">
        <w:r w:rsidRPr="00E867EB">
          <w:rPr>
            <w:rStyle w:val="Hyperlink"/>
          </w:rPr>
          <w:t>Article 43(1)</w:t>
        </w:r>
      </w:hyperlink>
      <w:r w:rsidRPr="00E867EB">
        <w:t>:</w:t>
      </w:r>
    </w:p>
    <w:p w14:paraId="7DD17C46" w14:textId="77777777" w:rsidR="00E867EB" w:rsidRPr="00E867EB" w:rsidRDefault="00E867EB" w:rsidP="00E867EB">
      <w:pPr>
        <w:numPr>
          <w:ilvl w:val="0"/>
          <w:numId w:val="1"/>
        </w:numPr>
      </w:pPr>
      <w:r w:rsidRPr="00E867EB">
        <w:rPr>
          <w:b/>
          <w:bCs/>
        </w:rPr>
        <w:t>Option 1:</w:t>
      </w:r>
      <w:r w:rsidRPr="00E867EB">
        <w:t> Internal control (</w:t>
      </w:r>
      <w:hyperlink r:id="rId7" w:tgtFrame="_blank" w:history="1">
        <w:r w:rsidRPr="00E867EB">
          <w:rPr>
            <w:rStyle w:val="Hyperlink"/>
          </w:rPr>
          <w:t>Annex VI</w:t>
        </w:r>
      </w:hyperlink>
      <w:r w:rsidRPr="00E867EB">
        <w:t>), but only if the provider has applied harmonized standards (</w:t>
      </w:r>
      <w:hyperlink r:id="rId8" w:tgtFrame="_blank" w:history="1">
        <w:r w:rsidRPr="00E867EB">
          <w:rPr>
            <w:rStyle w:val="Hyperlink"/>
          </w:rPr>
          <w:t>Article 40</w:t>
        </w:r>
      </w:hyperlink>
      <w:r w:rsidRPr="00E867EB">
        <w:t>) or common specifications (</w:t>
      </w:r>
      <w:hyperlink r:id="rId9" w:tgtFrame="_blank" w:history="1">
        <w:r w:rsidRPr="00E867EB">
          <w:rPr>
            <w:rStyle w:val="Hyperlink"/>
          </w:rPr>
          <w:t>Article 41</w:t>
        </w:r>
      </w:hyperlink>
      <w:r w:rsidRPr="00E867EB">
        <w:t>) that fully cover the Section 2 requirements.</w:t>
      </w:r>
    </w:p>
    <w:p w14:paraId="68998E33" w14:textId="77777777" w:rsidR="00E867EB" w:rsidRPr="00E867EB" w:rsidRDefault="00E867EB" w:rsidP="00E867EB">
      <w:pPr>
        <w:numPr>
          <w:ilvl w:val="0"/>
          <w:numId w:val="1"/>
        </w:numPr>
      </w:pPr>
      <w:r w:rsidRPr="00E867EB">
        <w:rPr>
          <w:b/>
          <w:bCs/>
        </w:rPr>
        <w:t>Option 2:</w:t>
      </w:r>
      <w:r w:rsidRPr="00E867EB">
        <w:t> Quality management system and technical documentation assessment with a notified body (</w:t>
      </w:r>
      <w:hyperlink r:id="rId10" w:tgtFrame="_blank" w:history="1">
        <w:r w:rsidRPr="00E867EB">
          <w:rPr>
            <w:rStyle w:val="Hyperlink"/>
          </w:rPr>
          <w:t>Annex VII</w:t>
        </w:r>
      </w:hyperlink>
      <w:r w:rsidRPr="00E867EB">
        <w:t>).</w:t>
      </w:r>
    </w:p>
    <w:p w14:paraId="65F135A2" w14:textId="77777777" w:rsidR="00E867EB" w:rsidRPr="00E867EB" w:rsidRDefault="00E867EB" w:rsidP="00E867EB">
      <w:r w:rsidRPr="00E867EB">
        <w:lastRenderedPageBreak/>
        <w:t>If harmonized standards have not been applied, were only partially applied, don’t exist yet, or have been published with restrictions, the notified body route is mandatory (</w:t>
      </w:r>
      <w:hyperlink r:id="rId11" w:tgtFrame="_blank" w:history="1">
        <w:r w:rsidRPr="00E867EB">
          <w:rPr>
            <w:rStyle w:val="Hyperlink"/>
          </w:rPr>
          <w:t>Article 43(1), second subparagraph</w:t>
        </w:r>
      </w:hyperlink>
      <w:r w:rsidRPr="00E867EB">
        <w:t>).</w:t>
      </w:r>
    </w:p>
    <w:p w14:paraId="71A37266" w14:textId="77777777" w:rsidR="00E867EB" w:rsidRPr="00E867EB" w:rsidRDefault="00E867EB" w:rsidP="00E867EB">
      <w:r w:rsidRPr="00E867EB">
        <w:t>This is where timing matters. As of early 2026, harmonized standards under the AI Act are still in development. Without published harmonized standards to rely on, biometric system providers cannot access the internal control shortcut. They need a notified body.</w:t>
      </w:r>
    </w:p>
    <w:p w14:paraId="26689823" w14:textId="77777777" w:rsidR="00E867EB" w:rsidRPr="00E867EB" w:rsidRDefault="00E867EB" w:rsidP="00E867EB">
      <w:r w:rsidRPr="00E867EB">
        <w:t>Where the system is intended for law enforcement, immigration, asylum authorities, or EU institutions, the relevant market surveillance authority acts as the notified body (</w:t>
      </w:r>
      <w:hyperlink r:id="rId12" w:tgtFrame="_blank" w:history="1">
        <w:r w:rsidRPr="00E867EB">
          <w:rPr>
            <w:rStyle w:val="Hyperlink"/>
          </w:rPr>
          <w:t>Article 43(1), third subparagraph</w:t>
        </w:r>
      </w:hyperlink>
      <w:r w:rsidRPr="00E867EB">
        <w:t> referencing </w:t>
      </w:r>
      <w:hyperlink r:id="rId13" w:tgtFrame="_blank" w:history="1">
        <w:r w:rsidRPr="00E867EB">
          <w:rPr>
            <w:rStyle w:val="Hyperlink"/>
          </w:rPr>
          <w:t>Article 74(8) and (9)</w:t>
        </w:r>
      </w:hyperlink>
      <w:r w:rsidRPr="00E867EB">
        <w:t>).</w:t>
      </w:r>
    </w:p>
    <w:p w14:paraId="15A12B8B" w14:textId="77777777" w:rsidR="00E867EB" w:rsidRPr="00E867EB" w:rsidRDefault="00E867EB" w:rsidP="00E867EB">
      <w:r w:rsidRPr="00E867EB">
        <w:rPr>
          <w:b/>
          <w:bCs/>
        </w:rPr>
        <w:t>Path B: Annex III, Points 2-8 systems (all other high-risk use cases)</w:t>
      </w:r>
    </w:p>
    <w:p w14:paraId="63102925" w14:textId="77777777" w:rsidR="00E867EB" w:rsidRPr="00E867EB" w:rsidRDefault="00E867EB" w:rsidP="00E867EB">
      <w:r w:rsidRPr="00E867EB">
        <w:t>Providers follow the internal control procedure per </w:t>
      </w:r>
      <w:hyperlink r:id="rId14" w:tgtFrame="_blank" w:history="1">
        <w:r w:rsidRPr="00E867EB">
          <w:rPr>
            <w:rStyle w:val="Hyperlink"/>
          </w:rPr>
          <w:t>Annex VI</w:t>
        </w:r>
      </w:hyperlink>
      <w:r w:rsidRPr="00E867EB">
        <w:t>. No notified body involvement required (</w:t>
      </w:r>
      <w:hyperlink r:id="rId15" w:tgtFrame="_blank" w:history="1">
        <w:r w:rsidRPr="00E867EB">
          <w:rPr>
            <w:rStyle w:val="Hyperlink"/>
          </w:rPr>
          <w:t>Article 43(2)</w:t>
        </w:r>
      </w:hyperlink>
      <w:r w:rsidRPr="00E867EB">
        <w:t>).</w:t>
      </w:r>
    </w:p>
    <w:p w14:paraId="7E074C60" w14:textId="77777777" w:rsidR="00E867EB" w:rsidRPr="00E867EB" w:rsidRDefault="00E867EB" w:rsidP="00E867EB">
      <w:r w:rsidRPr="00E867EB">
        <w:t>One critical caveat: the Commission can adopt delegated acts under </w:t>
      </w:r>
      <w:hyperlink r:id="rId16" w:tgtFrame="_blank" w:history="1">
        <w:r w:rsidRPr="00E867EB">
          <w:rPr>
            <w:rStyle w:val="Hyperlink"/>
          </w:rPr>
          <w:t>Article 43(6)</w:t>
        </w:r>
      </w:hyperlink>
      <w:r w:rsidRPr="00E867EB">
        <w:t xml:space="preserve"> to change this, subjecting Points 2-8 systems to the Annex VII notified body procedure. The Commission will evaluate this based on whether internal control has proven effective at preventing risks and whether sufficient </w:t>
      </w:r>
      <w:proofErr w:type="gramStart"/>
      <w:r w:rsidRPr="00E867EB">
        <w:t>notified body</w:t>
      </w:r>
      <w:proofErr w:type="gramEnd"/>
      <w:r w:rsidRPr="00E867EB">
        <w:t xml:space="preserve"> capacity exists. Organizations should monitor delegated act developments, particularly for employment (Point 4) and law enforcement (Point 6) systems where fundamental rights impacts are highest.</w:t>
      </w:r>
    </w:p>
    <w:p w14:paraId="7909FA34" w14:textId="77777777" w:rsidR="00E867EB" w:rsidRPr="00E867EB" w:rsidRDefault="00E867EB" w:rsidP="00E867EB">
      <w:r w:rsidRPr="00E867EB">
        <w:rPr>
          <w:b/>
          <w:bCs/>
        </w:rPr>
        <w:t>Path C: Product-safety AI systems (Annex I, Section A)</w:t>
      </w:r>
    </w:p>
    <w:p w14:paraId="0ED09C7F" w14:textId="77777777" w:rsidR="00E867EB" w:rsidRPr="00E867EB" w:rsidRDefault="00E867EB" w:rsidP="00E867EB">
      <w:r w:rsidRPr="00E867EB">
        <w:t>AI systems embedded in products covered by existing Union harmonization legislation (medical devices, machinery, toys, lifts, radio equipment, etc.) follow the conformity assessment procedure already required by that sectoral legislation (</w:t>
      </w:r>
      <w:hyperlink r:id="rId17" w:tgtFrame="_blank" w:history="1">
        <w:r w:rsidRPr="00E867EB">
          <w:rPr>
            <w:rStyle w:val="Hyperlink"/>
          </w:rPr>
          <w:t>Article 43(3)</w:t>
        </w:r>
      </w:hyperlink>
      <w:r w:rsidRPr="00E867EB">
        <w:t>). The AI Act’s Section 2 requirements become part of that existing assessment. Notified bodies already designated under those sectoral laws can assess AI Act compliance, provided they meet the additional requirements in </w:t>
      </w:r>
      <w:hyperlink r:id="rId18" w:tgtFrame="_blank" w:history="1">
        <w:r w:rsidRPr="00E867EB">
          <w:rPr>
            <w:rStyle w:val="Hyperlink"/>
          </w:rPr>
          <w:t>Article 31(4), (5), (10), and (11)</w:t>
        </w:r>
      </w:hyperlink>
      <w:r w:rsidRPr="00E867EB">
        <w:t>.</w:t>
      </w:r>
    </w:p>
    <w:p w14:paraId="7410747F" w14:textId="77777777" w:rsidR="00E867EB" w:rsidRPr="00E867EB" w:rsidRDefault="00E867EB" w:rsidP="00E867EB">
      <w:r w:rsidRPr="00E867EB">
        <w:t>A product manufacturer using an AI safety component may opt out of third-party assessment if the sectoral legislation allows it and all harmonized standards (including AI Act standards) have been applied (</w:t>
      </w:r>
      <w:hyperlink r:id="rId19" w:tgtFrame="_blank" w:history="1">
        <w:r w:rsidRPr="00E867EB">
          <w:rPr>
            <w:rStyle w:val="Hyperlink"/>
          </w:rPr>
          <w:t>Article 43(3), fifth subparagraph</w:t>
        </w:r>
      </w:hyperlink>
      <w:r w:rsidRPr="00E867EB">
        <w:t>).</w:t>
      </w:r>
    </w:p>
    <w:p w14:paraId="36522D77" w14:textId="77777777" w:rsidR="00E867EB" w:rsidRPr="00E867EB" w:rsidRDefault="00E867EB" w:rsidP="00E867EB">
      <w:pPr>
        <w:rPr>
          <w:b/>
          <w:bCs/>
        </w:rPr>
      </w:pPr>
      <w:r w:rsidRPr="00E867EB">
        <w:rPr>
          <w:b/>
          <w:bCs/>
        </w:rPr>
        <w:t>1.2 Inside the Annex VI Internal Control Procedure</w:t>
      </w:r>
    </w:p>
    <w:p w14:paraId="09A6F57E" w14:textId="77777777" w:rsidR="00E867EB" w:rsidRPr="00E867EB" w:rsidRDefault="00E867EB" w:rsidP="00E867EB">
      <w:hyperlink r:id="rId20" w:tgtFrame="_blank" w:history="1">
        <w:r w:rsidRPr="00E867EB">
          <w:rPr>
            <w:rStyle w:val="Hyperlink"/>
          </w:rPr>
          <w:t>Annex VI</w:t>
        </w:r>
      </w:hyperlink>
      <w:r w:rsidRPr="00E867EB">
        <w:t> is the lighter procedure, but “internal control” doesn’t mean casual self-assessment. The provider must:</w:t>
      </w:r>
    </w:p>
    <w:p w14:paraId="65248C48" w14:textId="77777777" w:rsidR="00E867EB" w:rsidRPr="00E867EB" w:rsidRDefault="00E867EB" w:rsidP="00E867EB">
      <w:pPr>
        <w:numPr>
          <w:ilvl w:val="0"/>
          <w:numId w:val="2"/>
        </w:numPr>
      </w:pPr>
      <w:r w:rsidRPr="00E867EB">
        <w:rPr>
          <w:b/>
          <w:bCs/>
        </w:rPr>
        <w:t>Verify the quality management system</w:t>
      </w:r>
      <w:r w:rsidRPr="00E867EB">
        <w:t> is in compliance with </w:t>
      </w:r>
      <w:hyperlink r:id="rId21" w:tgtFrame="_blank" w:history="1">
        <w:r w:rsidRPr="00E867EB">
          <w:rPr>
            <w:rStyle w:val="Hyperlink"/>
          </w:rPr>
          <w:t>Article 17</w:t>
        </w:r>
      </w:hyperlink>
      <w:r w:rsidRPr="00E867EB">
        <w:t xml:space="preserve"> requirements. This means checking every element listed in Article 17(1)(a) </w:t>
      </w:r>
      <w:r w:rsidRPr="00E867EB">
        <w:lastRenderedPageBreak/>
        <w:t>through (l): regulatory compliance strategy, design and development techniques, testing procedures, data management, risk management, post-market monitoring, incident reporting, communication protocols, record-keeping, resource management, accountability framework, and change management.</w:t>
      </w:r>
    </w:p>
    <w:p w14:paraId="4626981F" w14:textId="77777777" w:rsidR="00E867EB" w:rsidRPr="00E867EB" w:rsidRDefault="00E867EB" w:rsidP="00E867EB">
      <w:pPr>
        <w:numPr>
          <w:ilvl w:val="0"/>
          <w:numId w:val="2"/>
        </w:numPr>
      </w:pPr>
      <w:r w:rsidRPr="00E867EB">
        <w:rPr>
          <w:b/>
          <w:bCs/>
        </w:rPr>
        <w:t>Examine the technical documentation</w:t>
      </w:r>
      <w:r w:rsidRPr="00E867EB">
        <w:t> against all Section 2 requirements (Articles 8-15). This isn’t a cursory review. The provider must assess whether the documentation demonstrates actual compliance with risk management (</w:t>
      </w:r>
      <w:hyperlink r:id="rId22" w:tgtFrame="_blank" w:history="1">
        <w:r w:rsidRPr="00E867EB">
          <w:rPr>
            <w:rStyle w:val="Hyperlink"/>
          </w:rPr>
          <w:t>Article 9</w:t>
        </w:r>
      </w:hyperlink>
      <w:r w:rsidRPr="00E867EB">
        <w:t>), data governance (</w:t>
      </w:r>
      <w:hyperlink r:id="rId23" w:tgtFrame="_blank" w:history="1">
        <w:r w:rsidRPr="00E867EB">
          <w:rPr>
            <w:rStyle w:val="Hyperlink"/>
          </w:rPr>
          <w:t>Article 10</w:t>
        </w:r>
      </w:hyperlink>
      <w:r w:rsidRPr="00E867EB">
        <w:t>), technical documentation (</w:t>
      </w:r>
      <w:hyperlink r:id="rId24" w:tgtFrame="_blank" w:history="1">
        <w:r w:rsidRPr="00E867EB">
          <w:rPr>
            <w:rStyle w:val="Hyperlink"/>
          </w:rPr>
          <w:t>Article 11</w:t>
        </w:r>
      </w:hyperlink>
      <w:r w:rsidRPr="00E867EB">
        <w:t>), record-keeping (</w:t>
      </w:r>
      <w:hyperlink r:id="rId25" w:tgtFrame="_blank" w:history="1">
        <w:r w:rsidRPr="00E867EB">
          <w:rPr>
            <w:rStyle w:val="Hyperlink"/>
          </w:rPr>
          <w:t>Article 12</w:t>
        </w:r>
      </w:hyperlink>
      <w:r w:rsidRPr="00E867EB">
        <w:t>), transparency (</w:t>
      </w:r>
      <w:hyperlink r:id="rId26" w:tgtFrame="_blank" w:history="1">
        <w:r w:rsidRPr="00E867EB">
          <w:rPr>
            <w:rStyle w:val="Hyperlink"/>
          </w:rPr>
          <w:t>Article 13</w:t>
        </w:r>
      </w:hyperlink>
      <w:r w:rsidRPr="00E867EB">
        <w:t>), human oversight (</w:t>
      </w:r>
      <w:hyperlink r:id="rId27" w:tgtFrame="_blank" w:history="1">
        <w:r w:rsidRPr="00E867EB">
          <w:rPr>
            <w:rStyle w:val="Hyperlink"/>
          </w:rPr>
          <w:t>Article 14</w:t>
        </w:r>
      </w:hyperlink>
      <w:r w:rsidRPr="00E867EB">
        <w:t>), and accuracy/robustness/cybersecurity (</w:t>
      </w:r>
      <w:hyperlink r:id="rId28" w:tgtFrame="_blank" w:history="1">
        <w:r w:rsidRPr="00E867EB">
          <w:rPr>
            <w:rStyle w:val="Hyperlink"/>
          </w:rPr>
          <w:t>Article 15</w:t>
        </w:r>
      </w:hyperlink>
      <w:r w:rsidRPr="00E867EB">
        <w:t>).</w:t>
      </w:r>
    </w:p>
    <w:p w14:paraId="51A6C1AA" w14:textId="77777777" w:rsidR="00E867EB" w:rsidRPr="00E867EB" w:rsidRDefault="00E867EB" w:rsidP="00E867EB">
      <w:pPr>
        <w:numPr>
          <w:ilvl w:val="0"/>
          <w:numId w:val="2"/>
        </w:numPr>
      </w:pPr>
      <w:r w:rsidRPr="00E867EB">
        <w:rPr>
          <w:b/>
          <w:bCs/>
        </w:rPr>
        <w:t>Verify consistency</w:t>
      </w:r>
      <w:r w:rsidRPr="00E867EB">
        <w:t> between the design and development process, post-market monitoring system (</w:t>
      </w:r>
      <w:hyperlink r:id="rId29" w:tgtFrame="_blank" w:history="1">
        <w:r w:rsidRPr="00E867EB">
          <w:rPr>
            <w:rStyle w:val="Hyperlink"/>
          </w:rPr>
          <w:t>Article 72</w:t>
        </w:r>
      </w:hyperlink>
      <w:r w:rsidRPr="00E867EB">
        <w:t>), and the technical documentation.</w:t>
      </w:r>
    </w:p>
    <w:p w14:paraId="05607FE3" w14:textId="77777777" w:rsidR="00E867EB" w:rsidRPr="00E867EB" w:rsidRDefault="00E867EB" w:rsidP="00E867EB">
      <w:r w:rsidRPr="00E867EB">
        <w:t>The output: an EU declaration of conformity (</w:t>
      </w:r>
      <w:hyperlink r:id="rId30" w:tgtFrame="_blank" w:history="1">
        <w:r w:rsidRPr="00E867EB">
          <w:rPr>
            <w:rStyle w:val="Hyperlink"/>
          </w:rPr>
          <w:t>Article 47</w:t>
        </w:r>
      </w:hyperlink>
      <w:r w:rsidRPr="00E867EB">
        <w:t>), CE marking (</w:t>
      </w:r>
      <w:hyperlink r:id="rId31" w:tgtFrame="_blank" w:history="1">
        <w:r w:rsidRPr="00E867EB">
          <w:rPr>
            <w:rStyle w:val="Hyperlink"/>
          </w:rPr>
          <w:t>Article 48</w:t>
        </w:r>
      </w:hyperlink>
      <w:r w:rsidRPr="00E867EB">
        <w:t>), and registration in the EU database (</w:t>
      </w:r>
      <w:hyperlink r:id="rId32" w:tgtFrame="_blank" w:history="1">
        <w:r w:rsidRPr="00E867EB">
          <w:rPr>
            <w:rStyle w:val="Hyperlink"/>
          </w:rPr>
          <w:t>Article 49</w:t>
        </w:r>
      </w:hyperlink>
      <w:r w:rsidRPr="00E867EB">
        <w:t>).</w:t>
      </w:r>
    </w:p>
    <w:p w14:paraId="6216D4DF" w14:textId="77777777" w:rsidR="00E867EB" w:rsidRPr="00E867EB" w:rsidRDefault="00E867EB" w:rsidP="00E867EB">
      <w:pPr>
        <w:rPr>
          <w:b/>
          <w:bCs/>
        </w:rPr>
      </w:pPr>
      <w:r w:rsidRPr="00E867EB">
        <w:rPr>
          <w:b/>
          <w:bCs/>
        </w:rPr>
        <w:t>1.3 Inside the Annex VII Notified Body Procedure</w:t>
      </w:r>
    </w:p>
    <w:p w14:paraId="20F14BB3" w14:textId="77777777" w:rsidR="00E867EB" w:rsidRPr="00E867EB" w:rsidRDefault="00E867EB" w:rsidP="00E867EB">
      <w:hyperlink r:id="rId33" w:tgtFrame="_blank" w:history="1">
        <w:r w:rsidRPr="00E867EB">
          <w:rPr>
            <w:rStyle w:val="Hyperlink"/>
          </w:rPr>
          <w:t>Annex VII</w:t>
        </w:r>
      </w:hyperlink>
      <w:r w:rsidRPr="00E867EB">
        <w:t> involves two parallel tracks assessed by a notified body:</w:t>
      </w:r>
    </w:p>
    <w:p w14:paraId="63F1DFF3" w14:textId="77777777" w:rsidR="00E867EB" w:rsidRPr="00E867EB" w:rsidRDefault="00E867EB" w:rsidP="00E867EB">
      <w:r w:rsidRPr="00E867EB">
        <w:rPr>
          <w:b/>
          <w:bCs/>
        </w:rPr>
        <w:t>Track 1: Quality Management System Assessment</w:t>
      </w:r>
    </w:p>
    <w:p w14:paraId="512969E2" w14:textId="77777777" w:rsidR="00E867EB" w:rsidRPr="00E867EB" w:rsidRDefault="00E867EB" w:rsidP="00E867EB">
      <w:r w:rsidRPr="00E867EB">
        <w:t xml:space="preserve">The provider </w:t>
      </w:r>
      <w:proofErr w:type="gramStart"/>
      <w:r w:rsidRPr="00E867EB">
        <w:t>submits an application</w:t>
      </w:r>
      <w:proofErr w:type="gramEnd"/>
      <w:r w:rsidRPr="00E867EB">
        <w:t xml:space="preserve"> including the technical documentation of all AI systems covered under the same QMS, the QMS documentation itself, and a description of procedures ensuring ongoing QMS adequacy. The notified body assesses whether the QMS meets </w:t>
      </w:r>
      <w:hyperlink r:id="rId34" w:tgtFrame="_blank" w:history="1">
        <w:r w:rsidRPr="00E867EB">
          <w:rPr>
            <w:rStyle w:val="Hyperlink"/>
          </w:rPr>
          <w:t>Article 17</w:t>
        </w:r>
      </w:hyperlink>
      <w:r w:rsidRPr="00E867EB">
        <w:t> requirements and issues an approval. Any changes to an approved QMS must be brought to the notified body’s attention.</w:t>
      </w:r>
    </w:p>
    <w:p w14:paraId="3CCFDF90" w14:textId="77777777" w:rsidR="00E867EB" w:rsidRPr="00E867EB" w:rsidRDefault="00E867EB" w:rsidP="00E867EB">
      <w:r w:rsidRPr="00E867EB">
        <w:rPr>
          <w:b/>
          <w:bCs/>
        </w:rPr>
        <w:t>Track 2: Technical Documentation Assessment</w:t>
      </w:r>
    </w:p>
    <w:p w14:paraId="0DC076B3" w14:textId="77777777" w:rsidR="00E867EB" w:rsidRPr="00E867EB" w:rsidRDefault="00E867EB" w:rsidP="00E867EB">
      <w:r w:rsidRPr="00E867EB">
        <w:t>The notified body examines the technical documentation per </w:t>
      </w:r>
      <w:hyperlink r:id="rId35" w:tgtFrame="_blank" w:history="1">
        <w:r w:rsidRPr="00E867EB">
          <w:rPr>
            <w:rStyle w:val="Hyperlink"/>
          </w:rPr>
          <w:t>Annex IV</w:t>
        </w:r>
      </w:hyperlink>
      <w:r w:rsidRPr="00E867EB">
        <w:t> to assess compliance with Section 2 requirements. If the notified body isn’t satisfied with the provider’s tests, it can conduct its own tests directly. Upon reasoned request and after other verification means are exhausted, the notified body can access training data and trained models, including relevant parameters. This access is subject to intellectual property and trade secret protections under existing EU law.</w:t>
      </w:r>
    </w:p>
    <w:p w14:paraId="2B966D45" w14:textId="77777777" w:rsidR="00E867EB" w:rsidRPr="00E867EB" w:rsidRDefault="00E867EB" w:rsidP="00E867EB">
      <w:r w:rsidRPr="00E867EB">
        <w:t xml:space="preserve">The notified body issues a Union technical documentation assessment certificate if the system conforms. If not, it refuses the certificate with a </w:t>
      </w:r>
      <w:proofErr w:type="gramStart"/>
      <w:r w:rsidRPr="00E867EB">
        <w:t>reasoned</w:t>
      </w:r>
      <w:proofErr w:type="gramEnd"/>
      <w:r w:rsidRPr="00E867EB">
        <w:t xml:space="preserve"> decision.</w:t>
      </w:r>
    </w:p>
    <w:p w14:paraId="44EACB67" w14:textId="77777777" w:rsidR="00E867EB" w:rsidRPr="00E867EB" w:rsidRDefault="00E867EB" w:rsidP="00E867EB">
      <w:r w:rsidRPr="00E867EB">
        <w:rPr>
          <w:b/>
          <w:bCs/>
        </w:rPr>
        <w:lastRenderedPageBreak/>
        <w:t>Ongoing surveillance:</w:t>
      </w:r>
      <w:r w:rsidRPr="00E867EB">
        <w:t> The notified body conducts periodic audits to verify continued QMS compliance and may carry out additional tests on certified AI systems. The provider must allow access to design, development, and testing premises.</w:t>
      </w:r>
    </w:p>
    <w:p w14:paraId="7E8A185D" w14:textId="77777777" w:rsidR="00E867EB" w:rsidRPr="00E867EB" w:rsidRDefault="00E867EB" w:rsidP="00E867EB">
      <w:pPr>
        <w:rPr>
          <w:b/>
          <w:bCs/>
        </w:rPr>
      </w:pPr>
      <w:r w:rsidRPr="00E867EB">
        <w:rPr>
          <w:b/>
          <w:bCs/>
        </w:rPr>
        <w:t>1.4 The Substantial Modification Problem</w:t>
      </w:r>
    </w:p>
    <w:p w14:paraId="12D5A1D9" w14:textId="77777777" w:rsidR="00E867EB" w:rsidRPr="00E867EB" w:rsidRDefault="00E867EB" w:rsidP="00E867EB">
      <w:hyperlink r:id="rId36" w:tgtFrame="_blank" w:history="1">
        <w:r w:rsidRPr="00E867EB">
          <w:rPr>
            <w:rStyle w:val="Hyperlink"/>
          </w:rPr>
          <w:t>Article 43(4)</w:t>
        </w:r>
      </w:hyperlink>
      <w:r w:rsidRPr="00E867EB">
        <w:t> creates one of the Act’s most consequential ambiguities: any “substantial modification” to a high-risk AI system triggers a new conformity assessment. But the Act provides limited bright-line criteria for what constitutes “substantial.”</w:t>
      </w:r>
    </w:p>
    <w:p w14:paraId="28AEB143" w14:textId="77777777" w:rsidR="00E867EB" w:rsidRPr="00E867EB" w:rsidRDefault="00E867EB" w:rsidP="00E867EB">
      <w:r w:rsidRPr="00E867EB">
        <w:rPr>
          <w:b/>
          <w:bCs/>
        </w:rPr>
        <w:t>What is carved out:</w:t>
      </w:r>
      <w:r w:rsidRPr="00E867EB">
        <w:t> Changes that the provider predetermined at the time of initial conformity assessment and documented in the technical documentation per </w:t>
      </w:r>
      <w:hyperlink r:id="rId37" w:tgtFrame="_blank" w:history="1">
        <w:r w:rsidRPr="00E867EB">
          <w:rPr>
            <w:rStyle w:val="Hyperlink"/>
          </w:rPr>
          <w:t>Annex IV, point 2(f)</w:t>
        </w:r>
      </w:hyperlink>
      <w:r w:rsidRPr="00E867EB">
        <w:t> are not substantial modifications. This applies specifically to systems that continue to learn after placement on the market. If the learning behavior and its impact on performance were documented upfront, post-market learning doesn’t restart the assessment clock.</w:t>
      </w:r>
    </w:p>
    <w:p w14:paraId="50D3305B" w14:textId="77777777" w:rsidR="00E867EB" w:rsidRPr="00E867EB" w:rsidRDefault="00E867EB" w:rsidP="00E867EB">
      <w:r w:rsidRPr="00E867EB">
        <w:rPr>
          <w:b/>
          <w:bCs/>
        </w:rPr>
        <w:t>What likely constitutes substantial modification (based on the Act’s definitions and structure):</w:t>
      </w:r>
    </w:p>
    <w:p w14:paraId="50F2E4CE" w14:textId="77777777" w:rsidR="00E867EB" w:rsidRPr="00E867EB" w:rsidRDefault="00E867EB" w:rsidP="00E867EB">
      <w:pPr>
        <w:numPr>
          <w:ilvl w:val="0"/>
          <w:numId w:val="3"/>
        </w:numPr>
      </w:pPr>
      <w:r w:rsidRPr="00E867EB">
        <w:t>Changing the intended purpose of the system (</w:t>
      </w:r>
      <w:hyperlink r:id="rId38" w:tgtFrame="_blank" w:history="1">
        <w:r w:rsidRPr="00E867EB">
          <w:rPr>
            <w:rStyle w:val="Hyperlink"/>
          </w:rPr>
          <w:t>Article 3(12)</w:t>
        </w:r>
      </w:hyperlink>
      <w:r w:rsidRPr="00E867EB">
        <w:t> defines intended purpose; a change here alters the risk profile)</w:t>
      </w:r>
    </w:p>
    <w:p w14:paraId="11409332" w14:textId="77777777" w:rsidR="00E867EB" w:rsidRPr="00E867EB" w:rsidRDefault="00E867EB" w:rsidP="00E867EB">
      <w:pPr>
        <w:numPr>
          <w:ilvl w:val="0"/>
          <w:numId w:val="3"/>
        </w:numPr>
      </w:pPr>
      <w:r w:rsidRPr="00E867EB">
        <w:t>Retraining on fundamentally different data that changes the system’s behavior in ways not anticipated in the original documentation</w:t>
      </w:r>
    </w:p>
    <w:p w14:paraId="755BAF44" w14:textId="77777777" w:rsidR="00E867EB" w:rsidRPr="00E867EB" w:rsidRDefault="00E867EB" w:rsidP="00E867EB">
      <w:pPr>
        <w:numPr>
          <w:ilvl w:val="0"/>
          <w:numId w:val="3"/>
        </w:numPr>
      </w:pPr>
      <w:r w:rsidRPr="00E867EB">
        <w:t>Modifying the decision logic, algorithm, or model architecture</w:t>
      </w:r>
    </w:p>
    <w:p w14:paraId="595FB631" w14:textId="77777777" w:rsidR="00E867EB" w:rsidRPr="00E867EB" w:rsidRDefault="00E867EB" w:rsidP="00E867EB">
      <w:pPr>
        <w:numPr>
          <w:ilvl w:val="0"/>
          <w:numId w:val="3"/>
        </w:numPr>
      </w:pPr>
      <w:r w:rsidRPr="00E867EB">
        <w:t>Expanding deployment to new Annex III use case categories</w:t>
      </w:r>
    </w:p>
    <w:p w14:paraId="47DD649F" w14:textId="77777777" w:rsidR="00E867EB" w:rsidRPr="00E867EB" w:rsidRDefault="00E867EB" w:rsidP="00E867EB">
      <w:pPr>
        <w:numPr>
          <w:ilvl w:val="0"/>
          <w:numId w:val="3"/>
        </w:numPr>
      </w:pPr>
      <w:r w:rsidRPr="00E867EB">
        <w:t>Modifying human oversight mechanisms described in the original conformity documentation</w:t>
      </w:r>
    </w:p>
    <w:p w14:paraId="1369F40B" w14:textId="77777777" w:rsidR="00E867EB" w:rsidRPr="00E867EB" w:rsidRDefault="00E867EB" w:rsidP="00E867EB">
      <w:r w:rsidRPr="00E867EB">
        <w:rPr>
          <w:b/>
          <w:bCs/>
        </w:rPr>
        <w:t>The practical risk:</w:t>
      </w:r>
      <w:r w:rsidRPr="00E867EB">
        <w:t> For systems under the Annex VII notified body route, the notified body decides whether changes require a new conformity assessment or can be addressed through a supplement to the existing certificate (</w:t>
      </w:r>
      <w:hyperlink r:id="rId39" w:tgtFrame="_blank" w:history="1">
        <w:r w:rsidRPr="00E867EB">
          <w:rPr>
            <w:rStyle w:val="Hyperlink"/>
          </w:rPr>
          <w:t>Annex VII, point 4.6</w:t>
        </w:r>
      </w:hyperlink>
      <w:r w:rsidRPr="00E867EB">
        <w:t>). For internal control systems, the provider makes this determination themselves, which creates both flexibility and risk.</w:t>
      </w:r>
    </w:p>
    <w:p w14:paraId="62C3FA06" w14:textId="77777777" w:rsidR="00E867EB" w:rsidRPr="00E867EB" w:rsidRDefault="00E867EB" w:rsidP="00E867EB">
      <w:r w:rsidRPr="00E867EB">
        <w:t>Implementing guidance from the AI Office on substantial modification criteria is still pending. Organizations should document their decision rationale for any change deemed non-substantial.</w:t>
      </w:r>
    </w:p>
    <w:p w14:paraId="135BA295" w14:textId="77777777" w:rsidR="00E867EB" w:rsidRPr="00E867EB" w:rsidRDefault="00E867EB" w:rsidP="00E867EB">
      <w:r w:rsidRPr="00E867EB">
        <w:pict w14:anchorId="200CD56E">
          <v:rect id="_x0000_i1099" style="width:0;height:.75pt" o:hralign="center" o:hrstd="t" o:hr="t" fillcolor="#a0a0a0" stroked="f"/>
        </w:pict>
      </w:r>
    </w:p>
    <w:p w14:paraId="3D78DEE8" w14:textId="77777777" w:rsidR="00E867EB" w:rsidRPr="00E867EB" w:rsidRDefault="00E867EB" w:rsidP="00E867EB">
      <w:pPr>
        <w:rPr>
          <w:b/>
          <w:bCs/>
        </w:rPr>
      </w:pPr>
      <w:r w:rsidRPr="00E867EB">
        <w:rPr>
          <w:b/>
          <w:bCs/>
        </w:rPr>
        <w:lastRenderedPageBreak/>
        <w:t>2. Fundamental Rights Impact Assessment (Article 27)</w:t>
      </w:r>
    </w:p>
    <w:p w14:paraId="610C4DA2" w14:textId="77777777" w:rsidR="00E867EB" w:rsidRPr="00E867EB" w:rsidRDefault="00E867EB" w:rsidP="00E867EB">
      <w:r w:rsidRPr="00E867EB">
        <w:t>This is an entirely separate obligation from the technical conformity assessment, and it applies to deployers rather than providers. The intermediate tab doesn’t cover it. It matters because it requires deployers to think beyond technical compliance and evaluate how the system affects actual people.</w:t>
      </w:r>
    </w:p>
    <w:p w14:paraId="300B3A83" w14:textId="77777777" w:rsidR="00E867EB" w:rsidRPr="00E867EB" w:rsidRDefault="00E867EB" w:rsidP="00E867EB">
      <w:pPr>
        <w:rPr>
          <w:b/>
          <w:bCs/>
        </w:rPr>
      </w:pPr>
      <w:r w:rsidRPr="00E867EB">
        <w:rPr>
          <w:b/>
          <w:bCs/>
        </w:rPr>
        <w:t xml:space="preserve">2.1 Who Must Conduct </w:t>
      </w:r>
      <w:proofErr w:type="gramStart"/>
      <w:r w:rsidRPr="00E867EB">
        <w:rPr>
          <w:b/>
          <w:bCs/>
        </w:rPr>
        <w:t>an</w:t>
      </w:r>
      <w:proofErr w:type="gramEnd"/>
      <w:r w:rsidRPr="00E867EB">
        <w:rPr>
          <w:b/>
          <w:bCs/>
        </w:rPr>
        <w:t xml:space="preserve"> FRIA?</w:t>
      </w:r>
    </w:p>
    <w:p w14:paraId="39D07454" w14:textId="77777777" w:rsidR="00E867EB" w:rsidRPr="00E867EB" w:rsidRDefault="00E867EB" w:rsidP="00E867EB">
      <w:hyperlink r:id="rId40" w:tgtFrame="_blank" w:history="1">
        <w:r w:rsidRPr="00E867EB">
          <w:rPr>
            <w:rStyle w:val="Hyperlink"/>
          </w:rPr>
          <w:t>Article 27(1)</w:t>
        </w:r>
      </w:hyperlink>
      <w:r w:rsidRPr="00E867EB">
        <w:t> requires the FRIA for three categories of deployers when they deploy high-risk AI systems classified under </w:t>
      </w:r>
      <w:hyperlink r:id="rId41" w:tgtFrame="_blank" w:history="1">
        <w:r w:rsidRPr="00E867EB">
          <w:rPr>
            <w:rStyle w:val="Hyperlink"/>
          </w:rPr>
          <w:t>Article 6(2)</w:t>
        </w:r>
      </w:hyperlink>
      <w:r w:rsidRPr="00E867EB">
        <w:t> (the Annex III systems):</w:t>
      </w:r>
    </w:p>
    <w:p w14:paraId="0D0B91F6" w14:textId="77777777" w:rsidR="00E867EB" w:rsidRPr="00E867EB" w:rsidRDefault="00E867EB" w:rsidP="00E867EB">
      <w:pPr>
        <w:numPr>
          <w:ilvl w:val="0"/>
          <w:numId w:val="4"/>
        </w:numPr>
      </w:pPr>
      <w:r w:rsidRPr="00E867EB">
        <w:rPr>
          <w:b/>
          <w:bCs/>
        </w:rPr>
        <w:t>Bodies governed by public law</w:t>
      </w:r>
      <w:r w:rsidRPr="00E867EB">
        <w:t xml:space="preserve"> deploying </w:t>
      </w:r>
      <w:proofErr w:type="gramStart"/>
      <w:r w:rsidRPr="00E867EB">
        <w:t>any Annex</w:t>
      </w:r>
      <w:proofErr w:type="gramEnd"/>
      <w:r w:rsidRPr="00E867EB">
        <w:t xml:space="preserve"> III high-risk system (except those in Annex III, point 2, which covers critical infrastructure management)</w:t>
      </w:r>
    </w:p>
    <w:p w14:paraId="0FEB3CDF" w14:textId="77777777" w:rsidR="00E867EB" w:rsidRPr="00E867EB" w:rsidRDefault="00E867EB" w:rsidP="00E867EB">
      <w:pPr>
        <w:numPr>
          <w:ilvl w:val="0"/>
          <w:numId w:val="4"/>
        </w:numPr>
      </w:pPr>
      <w:r w:rsidRPr="00E867EB">
        <w:rPr>
          <w:b/>
          <w:bCs/>
        </w:rPr>
        <w:t>Private entities providing public services</w:t>
      </w:r>
      <w:r w:rsidRPr="00E867EB">
        <w:t> (education, healthcare, housing, social services) deploying any Annex III high-risk system (same critical infrastructure exception)</w:t>
      </w:r>
    </w:p>
    <w:p w14:paraId="4E8AFAD2" w14:textId="77777777" w:rsidR="00E867EB" w:rsidRPr="00E867EB" w:rsidRDefault="00E867EB" w:rsidP="00E867EB">
      <w:pPr>
        <w:numPr>
          <w:ilvl w:val="0"/>
          <w:numId w:val="4"/>
        </w:numPr>
      </w:pPr>
      <w:r w:rsidRPr="00E867EB">
        <w:rPr>
          <w:b/>
          <w:bCs/>
        </w:rPr>
        <w:t>All deployers</w:t>
      </w:r>
      <w:r w:rsidRPr="00E867EB">
        <w:t> (public or private, regardless of whether they provide public services) of high-risk AI systems under:</w:t>
      </w:r>
    </w:p>
    <w:p w14:paraId="44C532E4" w14:textId="77777777" w:rsidR="00E867EB" w:rsidRPr="00E867EB" w:rsidRDefault="00E867EB" w:rsidP="00E867EB">
      <w:pPr>
        <w:numPr>
          <w:ilvl w:val="1"/>
          <w:numId w:val="4"/>
        </w:numPr>
      </w:pPr>
      <w:hyperlink r:id="rId42" w:tgtFrame="_blank" w:history="1">
        <w:r w:rsidRPr="00E867EB">
          <w:rPr>
            <w:rStyle w:val="Hyperlink"/>
          </w:rPr>
          <w:t>Annex III, point 5(b)</w:t>
        </w:r>
      </w:hyperlink>
      <w:r w:rsidRPr="00E867EB">
        <w:t>: AI for evaluating creditworthiness or establishing credit scores (except fraud detection)</w:t>
      </w:r>
    </w:p>
    <w:p w14:paraId="5C3E1E2E" w14:textId="77777777" w:rsidR="00E867EB" w:rsidRPr="00E867EB" w:rsidRDefault="00E867EB" w:rsidP="00E867EB">
      <w:pPr>
        <w:numPr>
          <w:ilvl w:val="1"/>
          <w:numId w:val="4"/>
        </w:numPr>
      </w:pPr>
      <w:hyperlink r:id="rId43" w:tgtFrame="_blank" w:history="1">
        <w:r w:rsidRPr="00E867EB">
          <w:rPr>
            <w:rStyle w:val="Hyperlink"/>
          </w:rPr>
          <w:t>Annex III, point 5(c)</w:t>
        </w:r>
      </w:hyperlink>
      <w:r w:rsidRPr="00E867EB">
        <w:t>: AI for risk assessment and pricing for life and health insurance</w:t>
      </w:r>
    </w:p>
    <w:p w14:paraId="5618C43E" w14:textId="77777777" w:rsidR="00E867EB" w:rsidRPr="00E867EB" w:rsidRDefault="00E867EB" w:rsidP="00E867EB">
      <w:r w:rsidRPr="00E867EB">
        <w:t xml:space="preserve">That third category is significant. A private bank deploying an AI credit scoring system must conduct </w:t>
      </w:r>
      <w:proofErr w:type="gramStart"/>
      <w:r w:rsidRPr="00E867EB">
        <w:t>an</w:t>
      </w:r>
      <w:proofErr w:type="gramEnd"/>
      <w:r w:rsidRPr="00E867EB">
        <w:t xml:space="preserve"> FRIA regardless of whether it provides “public services.” Same for an insurance company using AI to price life or health policies.</w:t>
      </w:r>
    </w:p>
    <w:p w14:paraId="0F2D7031" w14:textId="77777777" w:rsidR="00E867EB" w:rsidRPr="00E867EB" w:rsidRDefault="00E867EB" w:rsidP="00E867EB">
      <w:pPr>
        <w:rPr>
          <w:b/>
          <w:bCs/>
        </w:rPr>
      </w:pPr>
      <w:r w:rsidRPr="00E867EB">
        <w:rPr>
          <w:b/>
          <w:bCs/>
        </w:rPr>
        <w:t>2.2 What the FRIA Must Contain</w:t>
      </w:r>
    </w:p>
    <w:p w14:paraId="5D35D054" w14:textId="77777777" w:rsidR="00E867EB" w:rsidRPr="00E867EB" w:rsidRDefault="00E867EB" w:rsidP="00E867EB">
      <w:hyperlink r:id="rId44" w:tgtFrame="_blank" w:history="1">
        <w:r w:rsidRPr="00E867EB">
          <w:rPr>
            <w:rStyle w:val="Hyperlink"/>
          </w:rPr>
          <w:t>Article 27(1)(a-f)</w:t>
        </w:r>
      </w:hyperlink>
      <w:r w:rsidRPr="00E867EB">
        <w:t> specifies six required elements, which can be grouped into three sections:</w:t>
      </w:r>
    </w:p>
    <w:p w14:paraId="7486201F" w14:textId="77777777" w:rsidR="00E867EB" w:rsidRPr="00E867EB" w:rsidRDefault="00E867EB" w:rsidP="00E867EB">
      <w:r w:rsidRPr="00E867EB">
        <w:rPr>
          <w:b/>
          <w:bCs/>
        </w:rPr>
        <w:t>Descriptive section:</w:t>
      </w:r>
    </w:p>
    <w:p w14:paraId="588B3DE5" w14:textId="77777777" w:rsidR="00E867EB" w:rsidRPr="00E867EB" w:rsidRDefault="00E867EB" w:rsidP="00E867EB">
      <w:pPr>
        <w:numPr>
          <w:ilvl w:val="0"/>
          <w:numId w:val="5"/>
        </w:numPr>
      </w:pPr>
      <w:r w:rsidRPr="00E867EB">
        <w:t>(a) Description of the deployer’s processes in which the high-risk AI system will be used, aligned with its intended purpose</w:t>
      </w:r>
    </w:p>
    <w:p w14:paraId="70D2651D" w14:textId="77777777" w:rsidR="00E867EB" w:rsidRPr="00E867EB" w:rsidRDefault="00E867EB" w:rsidP="00E867EB">
      <w:pPr>
        <w:numPr>
          <w:ilvl w:val="0"/>
          <w:numId w:val="5"/>
        </w:numPr>
      </w:pPr>
      <w:r w:rsidRPr="00E867EB">
        <w:t>(b) Period of time and frequency of intended use</w:t>
      </w:r>
    </w:p>
    <w:p w14:paraId="527DEB17" w14:textId="77777777" w:rsidR="00E867EB" w:rsidRPr="00E867EB" w:rsidRDefault="00E867EB" w:rsidP="00E867EB">
      <w:pPr>
        <w:numPr>
          <w:ilvl w:val="0"/>
          <w:numId w:val="5"/>
        </w:numPr>
      </w:pPr>
      <w:r w:rsidRPr="00E867EB">
        <w:t xml:space="preserve">(c) Categories of natural persons and groups </w:t>
      </w:r>
      <w:proofErr w:type="gramStart"/>
      <w:r w:rsidRPr="00E867EB">
        <w:t>likely</w:t>
      </w:r>
      <w:proofErr w:type="gramEnd"/>
      <w:r w:rsidRPr="00E867EB">
        <w:t xml:space="preserve"> to be affected in the specific deployment context</w:t>
      </w:r>
    </w:p>
    <w:p w14:paraId="43B0BE60" w14:textId="77777777" w:rsidR="00E867EB" w:rsidRPr="00E867EB" w:rsidRDefault="00E867EB" w:rsidP="00E867EB">
      <w:r w:rsidRPr="00E867EB">
        <w:rPr>
          <w:b/>
          <w:bCs/>
        </w:rPr>
        <w:lastRenderedPageBreak/>
        <w:t>Assessment section:</w:t>
      </w:r>
    </w:p>
    <w:p w14:paraId="6E844DBA" w14:textId="77777777" w:rsidR="00E867EB" w:rsidRPr="00E867EB" w:rsidRDefault="00E867EB" w:rsidP="00E867EB">
      <w:pPr>
        <w:numPr>
          <w:ilvl w:val="0"/>
          <w:numId w:val="6"/>
        </w:numPr>
      </w:pPr>
      <w:r w:rsidRPr="00E867EB">
        <w:t>(d) Specific risks of harm likely to impact the identified persons or groups, taking into account information provided by the provider pursuant to </w:t>
      </w:r>
      <w:hyperlink r:id="rId45" w:tgtFrame="_blank" w:history="1">
        <w:r w:rsidRPr="00E867EB">
          <w:rPr>
            <w:rStyle w:val="Hyperlink"/>
          </w:rPr>
          <w:t>Article 13</w:t>
        </w:r>
      </w:hyperlink>
    </w:p>
    <w:p w14:paraId="64A6C524" w14:textId="77777777" w:rsidR="00E867EB" w:rsidRPr="00E867EB" w:rsidRDefault="00E867EB" w:rsidP="00E867EB">
      <w:r w:rsidRPr="00E867EB">
        <w:rPr>
          <w:b/>
          <w:bCs/>
        </w:rPr>
        <w:t>Mitigation section:</w:t>
      </w:r>
    </w:p>
    <w:p w14:paraId="6CE5D78F" w14:textId="77777777" w:rsidR="00E867EB" w:rsidRPr="00E867EB" w:rsidRDefault="00E867EB" w:rsidP="00E867EB">
      <w:pPr>
        <w:numPr>
          <w:ilvl w:val="0"/>
          <w:numId w:val="7"/>
        </w:numPr>
      </w:pPr>
      <w:proofErr w:type="gramStart"/>
      <w:r w:rsidRPr="00E867EB">
        <w:t>(e) Description</w:t>
      </w:r>
      <w:proofErr w:type="gramEnd"/>
      <w:r w:rsidRPr="00E867EB">
        <w:t xml:space="preserve"> of human oversight measures implemented according to the provider’s instructions for use</w:t>
      </w:r>
    </w:p>
    <w:p w14:paraId="488B6EDA" w14:textId="77777777" w:rsidR="00E867EB" w:rsidRPr="00E867EB" w:rsidRDefault="00E867EB" w:rsidP="00E867EB">
      <w:pPr>
        <w:numPr>
          <w:ilvl w:val="0"/>
          <w:numId w:val="7"/>
        </w:numPr>
      </w:pPr>
      <w:r w:rsidRPr="00E867EB">
        <w:t>(f) Measures to be taken if identified risks materialize, including arrangements for internal governance and complaint mechanisms</w:t>
      </w:r>
    </w:p>
    <w:p w14:paraId="28287C3C" w14:textId="77777777" w:rsidR="00E867EB" w:rsidRPr="00E867EB" w:rsidRDefault="00E867EB" w:rsidP="00E867EB">
      <w:pPr>
        <w:rPr>
          <w:b/>
          <w:bCs/>
        </w:rPr>
      </w:pPr>
      <w:r w:rsidRPr="00E867EB">
        <w:rPr>
          <w:b/>
          <w:bCs/>
        </w:rPr>
        <w:t>2.3 Timing, Updates, and Notification</w:t>
      </w:r>
    </w:p>
    <w:p w14:paraId="3432D7E0" w14:textId="77777777" w:rsidR="00E867EB" w:rsidRPr="00E867EB" w:rsidRDefault="00E867EB" w:rsidP="00E867EB">
      <w:r w:rsidRPr="00E867EB">
        <w:t>The FRIA must be performed before the first use of the high-risk AI system (</w:t>
      </w:r>
      <w:hyperlink r:id="rId46" w:tgtFrame="_blank" w:history="1">
        <w:r w:rsidRPr="00E867EB">
          <w:rPr>
            <w:rStyle w:val="Hyperlink"/>
          </w:rPr>
          <w:t>Article 27(1)</w:t>
        </w:r>
      </w:hyperlink>
      <w:r w:rsidRPr="00E867EB">
        <w:t>). Deployers can rely on previously conducted FRIAs or existing impact assessments carried out by the provider for similar cases (</w:t>
      </w:r>
      <w:hyperlink r:id="rId47" w:tgtFrame="_blank" w:history="1">
        <w:r w:rsidRPr="00E867EB">
          <w:rPr>
            <w:rStyle w:val="Hyperlink"/>
          </w:rPr>
          <w:t>Article 27(2)</w:t>
        </w:r>
      </w:hyperlink>
      <w:r w:rsidRPr="00E867EB">
        <w:t>).</w:t>
      </w:r>
    </w:p>
    <w:p w14:paraId="1D906A31" w14:textId="77777777" w:rsidR="00E867EB" w:rsidRPr="00E867EB" w:rsidRDefault="00E867EB" w:rsidP="00E867EB">
      <w:r w:rsidRPr="00E867EB">
        <w:t>If the deployer determines that any element of the assessment has changed or is no longer current during use, the FRIA must be updated (</w:t>
      </w:r>
      <w:hyperlink r:id="rId48" w:tgtFrame="_blank" w:history="1">
        <w:r w:rsidRPr="00E867EB">
          <w:rPr>
            <w:rStyle w:val="Hyperlink"/>
          </w:rPr>
          <w:t>Article 27(2)</w:t>
        </w:r>
      </w:hyperlink>
      <w:r w:rsidRPr="00E867EB">
        <w:t>).</w:t>
      </w:r>
    </w:p>
    <w:p w14:paraId="4846AE05" w14:textId="77777777" w:rsidR="00E867EB" w:rsidRPr="00E867EB" w:rsidRDefault="00E867EB" w:rsidP="00E867EB">
      <w:r w:rsidRPr="00E867EB">
        <w:t>Once completed, the deployer must notify the market surveillance authority by submitting the filled-out template (</w:t>
      </w:r>
      <w:hyperlink r:id="rId49" w:tgtFrame="_blank" w:history="1">
        <w:r w:rsidRPr="00E867EB">
          <w:rPr>
            <w:rStyle w:val="Hyperlink"/>
          </w:rPr>
          <w:t>Article 27(3)</w:t>
        </w:r>
      </w:hyperlink>
      <w:r w:rsidRPr="00E867EB">
        <w:t>). Deployers may be exempt from this notification obligation under circumstances described in </w:t>
      </w:r>
      <w:hyperlink r:id="rId50" w:tgtFrame="_blank" w:history="1">
        <w:r w:rsidRPr="00E867EB">
          <w:rPr>
            <w:rStyle w:val="Hyperlink"/>
          </w:rPr>
          <w:t>Article 46(1)</w:t>
        </w:r>
      </w:hyperlink>
      <w:r w:rsidRPr="00E867EB">
        <w:t>.</w:t>
      </w:r>
    </w:p>
    <w:p w14:paraId="5A8ED5F3" w14:textId="77777777" w:rsidR="00E867EB" w:rsidRPr="00E867EB" w:rsidRDefault="00E867EB" w:rsidP="00E867EB">
      <w:r w:rsidRPr="00E867EB">
        <w:t>The AI Office is tasked with developing a template questionnaire, including through an automated tool, to facilitate compliance (</w:t>
      </w:r>
      <w:hyperlink r:id="rId51" w:tgtFrame="_blank" w:history="1">
        <w:r w:rsidRPr="00E867EB">
          <w:rPr>
            <w:rStyle w:val="Hyperlink"/>
          </w:rPr>
          <w:t>Article 27(5)</w:t>
        </w:r>
      </w:hyperlink>
      <w:r w:rsidRPr="00E867EB">
        <w:t>). As of early 2026, this template is still in development.</w:t>
      </w:r>
    </w:p>
    <w:p w14:paraId="34B2A6D7" w14:textId="77777777" w:rsidR="00E867EB" w:rsidRPr="00E867EB" w:rsidRDefault="00E867EB" w:rsidP="00E867EB">
      <w:pPr>
        <w:rPr>
          <w:b/>
          <w:bCs/>
        </w:rPr>
      </w:pPr>
      <w:r w:rsidRPr="00E867EB">
        <w:rPr>
          <w:b/>
          <w:bCs/>
        </w:rPr>
        <w:t>2.4 Relationship to GDPR Data Protection Impact Assessments</w:t>
      </w:r>
    </w:p>
    <w:p w14:paraId="44B75E99" w14:textId="77777777" w:rsidR="00E867EB" w:rsidRPr="00E867EB" w:rsidRDefault="00E867EB" w:rsidP="00E867EB">
      <w:hyperlink r:id="rId52" w:tgtFrame="_blank" w:history="1">
        <w:r w:rsidRPr="00E867EB">
          <w:rPr>
            <w:rStyle w:val="Hyperlink"/>
          </w:rPr>
          <w:t>Article 27(4)</w:t>
        </w:r>
      </w:hyperlink>
      <w:r w:rsidRPr="00E867EB">
        <w:t> explicitly addresses the FRIA-DPIA relationship: if an obligation under Article 27 is already met through a DPIA conducted pursuant to </w:t>
      </w:r>
      <w:hyperlink r:id="rId53" w:tgtFrame="_blank" w:history="1">
        <w:r w:rsidRPr="00E867EB">
          <w:rPr>
            <w:rStyle w:val="Hyperlink"/>
          </w:rPr>
          <w:t>GDPR Article 35</w:t>
        </w:r>
      </w:hyperlink>
      <w:r w:rsidRPr="00E867EB">
        <w:t> or </w:t>
      </w:r>
      <w:hyperlink r:id="rId54" w:tgtFrame="_blank" w:history="1">
        <w:r w:rsidRPr="00E867EB">
          <w:rPr>
            <w:rStyle w:val="Hyperlink"/>
          </w:rPr>
          <w:t>Directive (EU) 2016/680 Article 27</w:t>
        </w:r>
      </w:hyperlink>
      <w:r w:rsidRPr="00E867EB">
        <w:t>, the FRIA complements (rather than replaces) that DPIA.</w:t>
      </w:r>
    </w:p>
    <w:p w14:paraId="49B4DAEA" w14:textId="77777777" w:rsidR="00E867EB" w:rsidRPr="00E867EB" w:rsidRDefault="00E867EB" w:rsidP="00E867EB">
      <w:r w:rsidRPr="00E867EB">
        <w:t>In practice, this means:</w:t>
      </w:r>
    </w:p>
    <w:p w14:paraId="3A3F19DA" w14:textId="77777777" w:rsidR="00E867EB" w:rsidRPr="00E867EB" w:rsidRDefault="00E867EB" w:rsidP="00E867EB">
      <w:pPr>
        <w:numPr>
          <w:ilvl w:val="0"/>
          <w:numId w:val="8"/>
        </w:numPr>
      </w:pPr>
      <w:r w:rsidRPr="00E867EB">
        <w:t>A DPIA and FRIA can be conducted within one integrated assessment covering both GDPR and AI Act requirements</w:t>
      </w:r>
    </w:p>
    <w:p w14:paraId="21CF87AE" w14:textId="77777777" w:rsidR="00E867EB" w:rsidRPr="00E867EB" w:rsidRDefault="00E867EB" w:rsidP="00E867EB">
      <w:pPr>
        <w:numPr>
          <w:ilvl w:val="0"/>
          <w:numId w:val="8"/>
        </w:numPr>
      </w:pPr>
      <w:r w:rsidRPr="00E867EB">
        <w:t>If a DPIA has already been completed, the FRIA must supplement it with the broader fundamental rights analysis that goes beyond personal data protection</w:t>
      </w:r>
    </w:p>
    <w:p w14:paraId="3194DCA1" w14:textId="77777777" w:rsidR="00E867EB" w:rsidRPr="00E867EB" w:rsidRDefault="00E867EB" w:rsidP="00E867EB">
      <w:pPr>
        <w:numPr>
          <w:ilvl w:val="0"/>
          <w:numId w:val="8"/>
        </w:numPr>
      </w:pPr>
      <w:r w:rsidRPr="00E867EB">
        <w:t xml:space="preserve">The FRIA’s scope is wider than a DPIA. A DPIA focuses on risks to data subjects’ rights and freedoms from personal data processing. The FRIA considers impacts on </w:t>
      </w:r>
      <w:r w:rsidRPr="00E867EB">
        <w:lastRenderedPageBreak/>
        <w:t xml:space="preserve">all fundamental rights (non-discrimination, freedom of expression, access to justice, right to good administration) for all affected </w:t>
      </w:r>
      <w:proofErr w:type="gramStart"/>
      <w:r w:rsidRPr="00E867EB">
        <w:t>persons</w:t>
      </w:r>
      <w:proofErr w:type="gramEnd"/>
      <w:r w:rsidRPr="00E867EB">
        <w:t>, not only data subjects</w:t>
      </w:r>
    </w:p>
    <w:p w14:paraId="36E0CBBB" w14:textId="77777777" w:rsidR="00E867EB" w:rsidRPr="00E867EB" w:rsidRDefault="00E867EB" w:rsidP="00E867EB">
      <w:hyperlink r:id="rId55" w:tgtFrame="_blank" w:history="1">
        <w:r w:rsidRPr="00E867EB">
          <w:rPr>
            <w:rStyle w:val="Hyperlink"/>
          </w:rPr>
          <w:t>Article 26(9)</w:t>
        </w:r>
      </w:hyperlink>
      <w:r w:rsidRPr="00E867EB">
        <w:t> further connects the two assessments by requiring deployers to use the information provided by the AI system provider to comply with their DPIA obligations under the GDPR. This creates a documentation chain: provider’s Article 13 transparency information feeds into both the deployer’s DPIA and FRIA.</w:t>
      </w:r>
    </w:p>
    <w:p w14:paraId="68F48419" w14:textId="77777777" w:rsidR="00E867EB" w:rsidRPr="00E867EB" w:rsidRDefault="00E867EB" w:rsidP="00E867EB">
      <w:r w:rsidRPr="00E867EB">
        <w:pict w14:anchorId="2764983B">
          <v:rect id="_x0000_i1100" style="width:0;height:.75pt" o:hralign="center" o:hrstd="t" o:hr="t" fillcolor="#a0a0a0" stroked="f"/>
        </w:pict>
      </w:r>
    </w:p>
    <w:p w14:paraId="077C91A5" w14:textId="77777777" w:rsidR="00E867EB" w:rsidRPr="00E867EB" w:rsidRDefault="00E867EB" w:rsidP="00E867EB">
      <w:pPr>
        <w:rPr>
          <w:b/>
          <w:bCs/>
        </w:rPr>
      </w:pPr>
      <w:r w:rsidRPr="00E867EB">
        <w:rPr>
          <w:b/>
          <w:bCs/>
        </w:rPr>
        <w:t>3. Cross-Jurisdictional Compliance Architecture</w:t>
      </w:r>
    </w:p>
    <w:p w14:paraId="50EC2342" w14:textId="77777777" w:rsidR="00E867EB" w:rsidRPr="00E867EB" w:rsidRDefault="00E867EB" w:rsidP="00E867EB">
      <w:r w:rsidRPr="00E867EB">
        <w:t>Most organizations subject to the EU AI Act aren’t dealing with it in isolation. They’re mapping overlaps, conflicts, and efficiencies across multiple regulatory frameworks. This section covers the intersections that create the most practical difficulty.</w:t>
      </w:r>
    </w:p>
    <w:p w14:paraId="0E117D49" w14:textId="77777777" w:rsidR="00E867EB" w:rsidRPr="00E867EB" w:rsidRDefault="00E867EB" w:rsidP="00E867EB">
      <w:pPr>
        <w:rPr>
          <w:b/>
          <w:bCs/>
        </w:rPr>
      </w:pPr>
      <w:r w:rsidRPr="00E867EB">
        <w:rPr>
          <w:b/>
          <w:bCs/>
        </w:rPr>
        <w:t>3.1 EU AI Act and GDPR: The Article 10(5) Intersection</w:t>
      </w:r>
    </w:p>
    <w:p w14:paraId="500018FC" w14:textId="77777777" w:rsidR="00E867EB" w:rsidRPr="00E867EB" w:rsidRDefault="00E867EB" w:rsidP="00E867EB">
      <w:r w:rsidRPr="00E867EB">
        <w:t>One of the most consequential intersections in the Act is </w:t>
      </w:r>
      <w:hyperlink r:id="rId56" w:tgtFrame="_blank" w:history="1">
        <w:r w:rsidRPr="00E867EB">
          <w:rPr>
            <w:rStyle w:val="Hyperlink"/>
          </w:rPr>
          <w:t>Article 10(5)</w:t>
        </w:r>
      </w:hyperlink>
      <w:r w:rsidRPr="00E867EB">
        <w:t>, which creates a specific carve-out for processing special categories of personal data (as defined in GDPR Article 9) for the purpose of bias monitoring, detection, and correction.</w:t>
      </w:r>
    </w:p>
    <w:p w14:paraId="2ECB4F9E" w14:textId="77777777" w:rsidR="00E867EB" w:rsidRPr="00E867EB" w:rsidRDefault="00E867EB" w:rsidP="00E867EB">
      <w:proofErr w:type="gramStart"/>
      <w:r w:rsidRPr="00E867EB">
        <w:rPr>
          <w:b/>
          <w:bCs/>
        </w:rPr>
        <w:t>The problem it solves:</w:t>
      </w:r>
      <w:r w:rsidRPr="00E867EB">
        <w:t> To</w:t>
      </w:r>
      <w:proofErr w:type="gramEnd"/>
      <w:r w:rsidRPr="00E867EB">
        <w:t xml:space="preserve"> detect whether an AI system discriminates based on race, ethnicity, health status, sexual orientation, or other protected characteristics, you typically need to process that very data. Under GDPR Article 9(1), processing special category data is prohibited unless a specific exception applies. The AI Act recognized that strict GDPR prohibition would undermine the Act’s own bias requirements.</w:t>
      </w:r>
    </w:p>
    <w:p w14:paraId="48BA3298" w14:textId="77777777" w:rsidR="00E867EB" w:rsidRPr="00E867EB" w:rsidRDefault="00E867EB" w:rsidP="00E867EB">
      <w:r w:rsidRPr="00E867EB">
        <w:rPr>
          <w:b/>
          <w:bCs/>
        </w:rPr>
        <w:t>What Article 10(5) permits:</w:t>
      </w:r>
    </w:p>
    <w:p w14:paraId="2A33D506" w14:textId="77777777" w:rsidR="00E867EB" w:rsidRPr="00E867EB" w:rsidRDefault="00E867EB" w:rsidP="00E867EB">
      <w:r w:rsidRPr="00E867EB">
        <w:t xml:space="preserve">Processing of special categories of personal data for bias monitoring and correction, subject to </w:t>
      </w:r>
      <w:proofErr w:type="gramStart"/>
      <w:r w:rsidRPr="00E867EB">
        <w:t>all of</w:t>
      </w:r>
      <w:proofErr w:type="gramEnd"/>
      <w:r w:rsidRPr="00E867EB">
        <w:t xml:space="preserve"> the following conditions:</w:t>
      </w:r>
    </w:p>
    <w:p w14:paraId="21801EEC" w14:textId="77777777" w:rsidR="00E867EB" w:rsidRPr="00E867EB" w:rsidRDefault="00E867EB" w:rsidP="00E867EB">
      <w:pPr>
        <w:numPr>
          <w:ilvl w:val="0"/>
          <w:numId w:val="9"/>
        </w:numPr>
      </w:pPr>
      <w:r w:rsidRPr="00E867EB">
        <w:t>The bias cannot be effectively detected and corrected using synthetic or anonymized data</w:t>
      </w:r>
    </w:p>
    <w:p w14:paraId="4B2F121C" w14:textId="77777777" w:rsidR="00E867EB" w:rsidRPr="00E867EB" w:rsidRDefault="00E867EB" w:rsidP="00E867EB">
      <w:pPr>
        <w:numPr>
          <w:ilvl w:val="0"/>
          <w:numId w:val="9"/>
        </w:numPr>
      </w:pPr>
      <w:r w:rsidRPr="00E867EB">
        <w:t>The special category data is subject to appropriate safeguards for fundamental rights (including technical limitations on re-use, state-of-the-art security, pseudonymization, encryption where possible)</w:t>
      </w:r>
    </w:p>
    <w:p w14:paraId="67D695DC" w14:textId="77777777" w:rsidR="00E867EB" w:rsidRPr="00E867EB" w:rsidRDefault="00E867EB" w:rsidP="00E867EB">
      <w:pPr>
        <w:numPr>
          <w:ilvl w:val="0"/>
          <w:numId w:val="9"/>
        </w:numPr>
      </w:pPr>
      <w:r w:rsidRPr="00E867EB">
        <w:t>The special category data is deleted once the bias has been corrected or the personal data has reached the end of its retention period</w:t>
      </w:r>
    </w:p>
    <w:p w14:paraId="2E400306" w14:textId="77777777" w:rsidR="00E867EB" w:rsidRPr="00E867EB" w:rsidRDefault="00E867EB" w:rsidP="00E867EB">
      <w:pPr>
        <w:numPr>
          <w:ilvl w:val="0"/>
          <w:numId w:val="9"/>
        </w:numPr>
      </w:pPr>
      <w:r w:rsidRPr="00E867EB">
        <w:t>The processing is not based on a data subject’s consent</w:t>
      </w:r>
    </w:p>
    <w:p w14:paraId="68C0B872" w14:textId="77777777" w:rsidR="00E867EB" w:rsidRPr="00E867EB" w:rsidRDefault="00E867EB" w:rsidP="00E867EB">
      <w:pPr>
        <w:numPr>
          <w:ilvl w:val="0"/>
          <w:numId w:val="9"/>
        </w:numPr>
      </w:pPr>
      <w:r w:rsidRPr="00E867EB">
        <w:lastRenderedPageBreak/>
        <w:t>Records of the processing are maintained</w:t>
      </w:r>
    </w:p>
    <w:p w14:paraId="4470E141" w14:textId="77777777" w:rsidR="00E867EB" w:rsidRPr="00E867EB" w:rsidRDefault="00E867EB" w:rsidP="00E867EB">
      <w:r w:rsidRPr="00E867EB">
        <w:rPr>
          <w:b/>
          <w:bCs/>
        </w:rPr>
        <w:t xml:space="preserve">What </w:t>
      </w:r>
      <w:proofErr w:type="gramStart"/>
      <w:r w:rsidRPr="00E867EB">
        <w:rPr>
          <w:b/>
          <w:bCs/>
        </w:rPr>
        <w:t>it does</w:t>
      </w:r>
      <w:proofErr w:type="gramEnd"/>
      <w:r w:rsidRPr="00E867EB">
        <w:rPr>
          <w:b/>
          <w:bCs/>
        </w:rPr>
        <w:t xml:space="preserve"> not do:</w:t>
      </w:r>
    </w:p>
    <w:p w14:paraId="397E4D69" w14:textId="77777777" w:rsidR="00E867EB" w:rsidRPr="00E867EB" w:rsidRDefault="00E867EB" w:rsidP="00E867EB">
      <w:r w:rsidRPr="00E867EB">
        <w:t xml:space="preserve">Article 10(5) does not </w:t>
      </w:r>
      <w:proofErr w:type="gramStart"/>
      <w:r w:rsidRPr="00E867EB">
        <w:t>override</w:t>
      </w:r>
      <w:proofErr w:type="gramEnd"/>
      <w:r w:rsidRPr="00E867EB">
        <w:t xml:space="preserve"> all GDPR requirements. The general GDPR principles (purpose limitation, data minimization, storage limitation) still apply. The provision creates a legal basis for specific, bounded processing. Organizations still need to:</w:t>
      </w:r>
    </w:p>
    <w:p w14:paraId="3D6C83F8" w14:textId="77777777" w:rsidR="00E867EB" w:rsidRPr="00E867EB" w:rsidRDefault="00E867EB" w:rsidP="00E867EB">
      <w:pPr>
        <w:numPr>
          <w:ilvl w:val="0"/>
          <w:numId w:val="10"/>
        </w:numPr>
      </w:pPr>
      <w:r w:rsidRPr="00E867EB">
        <w:t>Conduct DPIAs under GDPR Article 35 for this processing</w:t>
      </w:r>
    </w:p>
    <w:p w14:paraId="070F9E3C" w14:textId="77777777" w:rsidR="00E867EB" w:rsidRPr="00E867EB" w:rsidRDefault="00E867EB" w:rsidP="00E867EB">
      <w:pPr>
        <w:numPr>
          <w:ilvl w:val="0"/>
          <w:numId w:val="10"/>
        </w:numPr>
      </w:pPr>
      <w:r w:rsidRPr="00E867EB">
        <w:t>Implement appropriate technical and organizational measures</w:t>
      </w:r>
    </w:p>
    <w:p w14:paraId="7D360ECD" w14:textId="77777777" w:rsidR="00E867EB" w:rsidRPr="00E867EB" w:rsidRDefault="00E867EB" w:rsidP="00E867EB">
      <w:pPr>
        <w:numPr>
          <w:ilvl w:val="0"/>
          <w:numId w:val="10"/>
        </w:numPr>
      </w:pPr>
      <w:r w:rsidRPr="00E867EB">
        <w:t>Document why synthetic or anonymized data was insufficient</w:t>
      </w:r>
    </w:p>
    <w:p w14:paraId="1DE2D8B8" w14:textId="77777777" w:rsidR="00E867EB" w:rsidRPr="00E867EB" w:rsidRDefault="00E867EB" w:rsidP="00E867EB">
      <w:pPr>
        <w:numPr>
          <w:ilvl w:val="0"/>
          <w:numId w:val="10"/>
        </w:numPr>
      </w:pPr>
      <w:r w:rsidRPr="00E867EB">
        <w:t>Apply pseudonymization and encryption where feasible</w:t>
      </w:r>
    </w:p>
    <w:p w14:paraId="22A0C344" w14:textId="77777777" w:rsidR="00E867EB" w:rsidRPr="00E867EB" w:rsidRDefault="00E867EB" w:rsidP="00E867EB">
      <w:pPr>
        <w:numPr>
          <w:ilvl w:val="0"/>
          <w:numId w:val="10"/>
        </w:numPr>
      </w:pPr>
      <w:r w:rsidRPr="00E867EB">
        <w:t>Delete the data once the bias detection/correction purpose is fulfilled</w:t>
      </w:r>
    </w:p>
    <w:p w14:paraId="0C6FD8EE" w14:textId="77777777" w:rsidR="00E867EB" w:rsidRPr="00E867EB" w:rsidRDefault="00E867EB" w:rsidP="00E867EB">
      <w:r w:rsidRPr="00E867EB">
        <w:rPr>
          <w:b/>
          <w:bCs/>
        </w:rPr>
        <w:t>Cross-regulatory documentation requirement:</w:t>
      </w:r>
      <w:r w:rsidRPr="00E867EB">
        <w:t> An organization relying on Article 10(5) should document the legal basis chain: the AI Act mandates bias monitoring (</w:t>
      </w:r>
      <w:hyperlink r:id="rId57" w:tgtFrame="_blank" w:history="1">
        <w:r w:rsidRPr="00E867EB">
          <w:rPr>
            <w:rStyle w:val="Hyperlink"/>
          </w:rPr>
          <w:t>Article 10(2)(f)</w:t>
        </w:r>
      </w:hyperlink>
      <w:r w:rsidRPr="00E867EB">
        <w:t>), the AI Act permits special category processing for that purpose (</w:t>
      </w:r>
      <w:hyperlink r:id="rId58" w:tgtFrame="_blank" w:history="1">
        <w:r w:rsidRPr="00E867EB">
          <w:rPr>
            <w:rStyle w:val="Hyperlink"/>
          </w:rPr>
          <w:t>Article 10(5)</w:t>
        </w:r>
      </w:hyperlink>
      <w:r w:rsidRPr="00E867EB">
        <w:t>), and the GDPR DPIA addresses the remaining data protection risks.</w:t>
      </w:r>
    </w:p>
    <w:p w14:paraId="39E1D20B" w14:textId="77777777" w:rsidR="00E867EB" w:rsidRPr="00E867EB" w:rsidRDefault="00E867EB" w:rsidP="00E867EB">
      <w:pPr>
        <w:rPr>
          <w:b/>
          <w:bCs/>
        </w:rPr>
      </w:pPr>
      <w:r w:rsidRPr="00E867EB">
        <w:rPr>
          <w:b/>
          <w:bCs/>
        </w:rPr>
        <w:t>3.2 EU AI Act and Sector-Specific Product Safety Legislation</w:t>
      </w:r>
    </w:p>
    <w:p w14:paraId="2743B096" w14:textId="77777777" w:rsidR="00E867EB" w:rsidRPr="00E867EB" w:rsidRDefault="00E867EB" w:rsidP="00E867EB">
      <w:r w:rsidRPr="00E867EB">
        <w:t xml:space="preserve">For organizations in regulated product sectors, the AI Act doesn’t replace existing conformity assessment regimes. It </w:t>
      </w:r>
      <w:proofErr w:type="gramStart"/>
      <w:r w:rsidRPr="00E867EB">
        <w:t>layers</w:t>
      </w:r>
      <w:proofErr w:type="gramEnd"/>
      <w:r w:rsidRPr="00E867EB">
        <w:t xml:space="preserve"> onto them.</w:t>
      </w:r>
    </w:p>
    <w:p w14:paraId="6ADA33FF" w14:textId="77777777" w:rsidR="00E867EB" w:rsidRPr="00E867EB" w:rsidRDefault="00E867EB" w:rsidP="00E867EB">
      <w:hyperlink r:id="rId59" w:tgtFrame="_blank" w:history="1">
        <w:r w:rsidRPr="00E867EB">
          <w:rPr>
            <w:rStyle w:val="Hyperlink"/>
          </w:rPr>
          <w:t>Article 43(3)</w:t>
        </w:r>
      </w:hyperlink>
      <w:r w:rsidRPr="00E867EB">
        <w:t> establishes that for AI systems covered by Union harmonization legislation in </w:t>
      </w:r>
      <w:hyperlink r:id="rId60" w:tgtFrame="_blank" w:history="1">
        <w:r w:rsidRPr="00E867EB">
          <w:rPr>
            <w:rStyle w:val="Hyperlink"/>
          </w:rPr>
          <w:t>Annex I, Section A</w:t>
        </w:r>
      </w:hyperlink>
      <w:r w:rsidRPr="00E867EB">
        <w:t>, the provider follows the relevant sectoral conformity assessment procedure. The AI Act’s Section 2 requirements become additional elements within that existing assessment.</w:t>
      </w:r>
    </w:p>
    <w:p w14:paraId="50099EBE" w14:textId="77777777" w:rsidR="00E867EB" w:rsidRPr="00E867EB" w:rsidRDefault="00E867EB" w:rsidP="00E867EB">
      <w:r w:rsidRPr="00E867EB">
        <w:rPr>
          <w:b/>
          <w:bCs/>
        </w:rPr>
        <w:t>Annex I, Section A includes:</w:t>
      </w:r>
    </w:p>
    <w:p w14:paraId="1C1BC873" w14:textId="77777777" w:rsidR="00E867EB" w:rsidRPr="00E867EB" w:rsidRDefault="00E867EB" w:rsidP="00E867EB">
      <w:pPr>
        <w:numPr>
          <w:ilvl w:val="0"/>
          <w:numId w:val="11"/>
        </w:numPr>
      </w:pPr>
      <w:r w:rsidRPr="00E867EB">
        <w:t>Machinery Regulation (EU) 2023/1230</w:t>
      </w:r>
    </w:p>
    <w:p w14:paraId="70E5AD0E" w14:textId="77777777" w:rsidR="00E867EB" w:rsidRPr="00E867EB" w:rsidRDefault="00E867EB" w:rsidP="00E867EB">
      <w:pPr>
        <w:numPr>
          <w:ilvl w:val="0"/>
          <w:numId w:val="11"/>
        </w:numPr>
      </w:pPr>
      <w:r w:rsidRPr="00E867EB">
        <w:t>Regulation on general product safety (EU) 2023/988</w:t>
      </w:r>
    </w:p>
    <w:p w14:paraId="362CE4A7" w14:textId="77777777" w:rsidR="00E867EB" w:rsidRPr="00E867EB" w:rsidRDefault="00E867EB" w:rsidP="00E867EB">
      <w:pPr>
        <w:numPr>
          <w:ilvl w:val="0"/>
          <w:numId w:val="11"/>
        </w:numPr>
      </w:pPr>
      <w:r w:rsidRPr="00E867EB">
        <w:t>Medical Device Regulation (EU) 2017/745</w:t>
      </w:r>
    </w:p>
    <w:p w14:paraId="734CAA2A" w14:textId="77777777" w:rsidR="00E867EB" w:rsidRPr="00E867EB" w:rsidRDefault="00E867EB" w:rsidP="00E867EB">
      <w:pPr>
        <w:numPr>
          <w:ilvl w:val="0"/>
          <w:numId w:val="11"/>
        </w:numPr>
      </w:pPr>
      <w:r w:rsidRPr="00E867EB">
        <w:t>In vitro diagnostic medical devices (EU) 2017/746</w:t>
      </w:r>
    </w:p>
    <w:p w14:paraId="5F2902BE" w14:textId="77777777" w:rsidR="00E867EB" w:rsidRPr="00E867EB" w:rsidRDefault="00E867EB" w:rsidP="00E867EB">
      <w:pPr>
        <w:numPr>
          <w:ilvl w:val="0"/>
          <w:numId w:val="11"/>
        </w:numPr>
      </w:pPr>
      <w:r w:rsidRPr="00E867EB">
        <w:t>Radio equipment (2014/53/EU)</w:t>
      </w:r>
    </w:p>
    <w:p w14:paraId="435B2C08" w14:textId="77777777" w:rsidR="00E867EB" w:rsidRPr="00E867EB" w:rsidRDefault="00E867EB" w:rsidP="00E867EB">
      <w:pPr>
        <w:numPr>
          <w:ilvl w:val="0"/>
          <w:numId w:val="11"/>
        </w:numPr>
      </w:pPr>
      <w:r w:rsidRPr="00E867EB">
        <w:t>Toys safety (2009/48/EC)</w:t>
      </w:r>
    </w:p>
    <w:p w14:paraId="1BB51629" w14:textId="77777777" w:rsidR="00E867EB" w:rsidRPr="00E867EB" w:rsidRDefault="00E867EB" w:rsidP="00E867EB">
      <w:pPr>
        <w:numPr>
          <w:ilvl w:val="0"/>
          <w:numId w:val="11"/>
        </w:numPr>
      </w:pPr>
      <w:r w:rsidRPr="00E867EB">
        <w:t>Lifts (2014/33/EU)</w:t>
      </w:r>
    </w:p>
    <w:p w14:paraId="0D1FE1EA" w14:textId="77777777" w:rsidR="00E867EB" w:rsidRPr="00E867EB" w:rsidRDefault="00E867EB" w:rsidP="00E867EB">
      <w:pPr>
        <w:numPr>
          <w:ilvl w:val="0"/>
          <w:numId w:val="11"/>
        </w:numPr>
      </w:pPr>
      <w:r w:rsidRPr="00E867EB">
        <w:lastRenderedPageBreak/>
        <w:t>Personal protective equipment (EU) 2016/425</w:t>
      </w:r>
    </w:p>
    <w:p w14:paraId="1B2A7845" w14:textId="77777777" w:rsidR="00E867EB" w:rsidRPr="00E867EB" w:rsidRDefault="00E867EB" w:rsidP="00E867EB">
      <w:pPr>
        <w:numPr>
          <w:ilvl w:val="0"/>
          <w:numId w:val="11"/>
        </w:numPr>
      </w:pPr>
      <w:r w:rsidRPr="00E867EB">
        <w:t>Pressure equipment (2014/68/EU)</w:t>
      </w:r>
    </w:p>
    <w:p w14:paraId="4754B3A0" w14:textId="77777777" w:rsidR="00E867EB" w:rsidRPr="00E867EB" w:rsidRDefault="00E867EB" w:rsidP="00E867EB">
      <w:r w:rsidRPr="00E867EB">
        <w:t>The practical implication: a medical device manufacturer embedding an AI diagnostic component conducts one conformity assessment under the Medical Device Regulation, but that assessment must now also cover Articles 8-15 of the AI Act. The notified body already designated under the MDR can assess AI Act compliance, provided it meets the additional notified body requirements in </w:t>
      </w:r>
      <w:hyperlink r:id="rId61" w:tgtFrame="_blank" w:history="1">
        <w:r w:rsidRPr="00E867EB">
          <w:rPr>
            <w:rStyle w:val="Hyperlink"/>
          </w:rPr>
          <w:t>Article 31(4), (5), (10), and (11)</w:t>
        </w:r>
      </w:hyperlink>
      <w:r w:rsidRPr="00E867EB">
        <w:t>.</w:t>
      </w:r>
    </w:p>
    <w:p w14:paraId="177BE2AF" w14:textId="77777777" w:rsidR="00E867EB" w:rsidRPr="00E867EB" w:rsidRDefault="00E867EB" w:rsidP="00E867EB">
      <w:r w:rsidRPr="00E867EB">
        <w:rPr>
          <w:b/>
          <w:bCs/>
        </w:rPr>
        <w:t>The opt-out question:</w:t>
      </w:r>
      <w:r w:rsidRPr="00E867EB">
        <w:t> Some sectoral legislation allows manufacturers to skip third-party assessment when all harmonized standards are applied. Under the AI Act, this opt-out is available only if the manufacturer has also applied harmonized standards or common specifications covering all AI Act Section 2 requirements (</w:t>
      </w:r>
      <w:hyperlink r:id="rId62" w:tgtFrame="_blank" w:history="1">
        <w:r w:rsidRPr="00E867EB">
          <w:rPr>
            <w:rStyle w:val="Hyperlink"/>
          </w:rPr>
          <w:t>Article 43(3), fifth subparagraph</w:t>
        </w:r>
      </w:hyperlink>
      <w:r w:rsidRPr="00E867EB">
        <w:t>). Without AI Act-specific harmonized standards (still in development as of early 2026), this opt-out path is effectively unavailable.</w:t>
      </w:r>
    </w:p>
    <w:p w14:paraId="06B41A16" w14:textId="77777777" w:rsidR="00E867EB" w:rsidRPr="00E867EB" w:rsidRDefault="00E867EB" w:rsidP="00E867EB">
      <w:pPr>
        <w:rPr>
          <w:b/>
          <w:bCs/>
        </w:rPr>
      </w:pPr>
      <w:r w:rsidRPr="00E867EB">
        <w:rPr>
          <w:b/>
          <w:bCs/>
        </w:rPr>
        <w:t>3.3 Mapping the EU AI Act Against NIST AI RMF and ISO/IEC 42001</w:t>
      </w:r>
    </w:p>
    <w:p w14:paraId="46596E8C" w14:textId="77777777" w:rsidR="00E867EB" w:rsidRPr="00E867EB" w:rsidRDefault="00E867EB" w:rsidP="00E867EB">
      <w:r w:rsidRPr="00E867EB">
        <w:t>Organizations with global operations frequently ask where existing NIST AI RMF or ISO 42001 implementation satisfies AI Act requirements and where gaps remain. This is a framework-mapping exercise that the Act itself doesn’t perform, but practitioners need.</w:t>
      </w:r>
    </w:p>
    <w:p w14:paraId="6FF2BF4F" w14:textId="77777777" w:rsidR="00E867EB" w:rsidRPr="00E867EB" w:rsidRDefault="00E867EB" w:rsidP="00E867EB">
      <w:r w:rsidRPr="00E867EB">
        <w:rPr>
          <w:b/>
          <w:bCs/>
        </w:rPr>
        <w:t>Where NIST AI RMF practices support AI Act compliance:</w:t>
      </w:r>
    </w:p>
    <w:p w14:paraId="4EA21A5B" w14:textId="77777777" w:rsidR="00E867EB" w:rsidRPr="00E867EB" w:rsidRDefault="00E867EB" w:rsidP="00E867EB">
      <w:r w:rsidRPr="00E867EB">
        <w:t>The NIST AI Risk Management Framework’s GOVERN, MAP, MEASURE, and MANAGE functions align with several AI Act requirements at a structural level:</w:t>
      </w:r>
    </w:p>
    <w:p w14:paraId="3BD9FB30" w14:textId="77777777" w:rsidR="00E867EB" w:rsidRPr="00E867EB" w:rsidRDefault="00E867EB" w:rsidP="00E867EB">
      <w:pPr>
        <w:numPr>
          <w:ilvl w:val="0"/>
          <w:numId w:val="12"/>
        </w:numPr>
      </w:pPr>
      <w:r w:rsidRPr="00E867EB">
        <w:t>GOVERN function aligns with </w:t>
      </w:r>
      <w:hyperlink r:id="rId63" w:tgtFrame="_blank" w:history="1">
        <w:r w:rsidRPr="00E867EB">
          <w:rPr>
            <w:rStyle w:val="Hyperlink"/>
          </w:rPr>
          <w:t>Article 17</w:t>
        </w:r>
      </w:hyperlink>
      <w:r w:rsidRPr="00E867EB">
        <w:t> (quality management system) and </w:t>
      </w:r>
      <w:hyperlink r:id="rId64" w:tgtFrame="_blank" w:history="1">
        <w:r w:rsidRPr="00E867EB">
          <w:rPr>
            <w:rStyle w:val="Hyperlink"/>
          </w:rPr>
          <w:t>Article 4</w:t>
        </w:r>
      </w:hyperlink>
      <w:r w:rsidRPr="00E867EB">
        <w:t> (AI literacy). Both emphasize organizational governance structures, role assignments, and culture of accountability.</w:t>
      </w:r>
    </w:p>
    <w:p w14:paraId="34862A05" w14:textId="77777777" w:rsidR="00E867EB" w:rsidRPr="00E867EB" w:rsidRDefault="00E867EB" w:rsidP="00E867EB">
      <w:pPr>
        <w:numPr>
          <w:ilvl w:val="0"/>
          <w:numId w:val="12"/>
        </w:numPr>
      </w:pPr>
      <w:r w:rsidRPr="00E867EB">
        <w:t>MAP function supports </w:t>
      </w:r>
      <w:hyperlink r:id="rId65" w:tgtFrame="_blank" w:history="1">
        <w:r w:rsidRPr="00E867EB">
          <w:rPr>
            <w:rStyle w:val="Hyperlink"/>
          </w:rPr>
          <w:t>Article 9(2)(a-b)</w:t>
        </w:r>
      </w:hyperlink>
      <w:r w:rsidRPr="00E867EB">
        <w:t> (risk identification for intended use and reasonably foreseeable misuse) and </w:t>
      </w:r>
      <w:hyperlink r:id="rId66" w:tgtFrame="_blank" w:history="1">
        <w:r w:rsidRPr="00E867EB">
          <w:rPr>
            <w:rStyle w:val="Hyperlink"/>
          </w:rPr>
          <w:t>Article 6</w:t>
        </w:r>
      </w:hyperlink>
      <w:r w:rsidRPr="00E867EB">
        <w:t> classification exercises.</w:t>
      </w:r>
    </w:p>
    <w:p w14:paraId="1A06C388" w14:textId="77777777" w:rsidR="00E867EB" w:rsidRPr="00E867EB" w:rsidRDefault="00E867EB" w:rsidP="00E867EB">
      <w:pPr>
        <w:numPr>
          <w:ilvl w:val="0"/>
          <w:numId w:val="12"/>
        </w:numPr>
      </w:pPr>
      <w:r w:rsidRPr="00E867EB">
        <w:t>MEASURE function connects to </w:t>
      </w:r>
      <w:hyperlink r:id="rId67" w:tgtFrame="_blank" w:history="1">
        <w:r w:rsidRPr="00E867EB">
          <w:rPr>
            <w:rStyle w:val="Hyperlink"/>
          </w:rPr>
          <w:t>Article 9(5-7)</w:t>
        </w:r>
      </w:hyperlink>
      <w:r w:rsidRPr="00E867EB">
        <w:t> (testing procedures) and </w:t>
      </w:r>
      <w:hyperlink r:id="rId68" w:tgtFrame="_blank" w:history="1">
        <w:r w:rsidRPr="00E867EB">
          <w:rPr>
            <w:rStyle w:val="Hyperlink"/>
          </w:rPr>
          <w:t>Article 15</w:t>
        </w:r>
      </w:hyperlink>
      <w:r w:rsidRPr="00E867EB">
        <w:t> (accuracy, robustness, cybersecurity metrics).</w:t>
      </w:r>
    </w:p>
    <w:p w14:paraId="1087F759" w14:textId="77777777" w:rsidR="00E867EB" w:rsidRPr="00E867EB" w:rsidRDefault="00E867EB" w:rsidP="00E867EB">
      <w:pPr>
        <w:numPr>
          <w:ilvl w:val="0"/>
          <w:numId w:val="12"/>
        </w:numPr>
      </w:pPr>
      <w:r w:rsidRPr="00E867EB">
        <w:t>MANAGE function supports </w:t>
      </w:r>
      <w:hyperlink r:id="rId69" w:tgtFrame="_blank" w:history="1">
        <w:r w:rsidRPr="00E867EB">
          <w:rPr>
            <w:rStyle w:val="Hyperlink"/>
          </w:rPr>
          <w:t>Article 9(3)</w:t>
        </w:r>
      </w:hyperlink>
      <w:r w:rsidRPr="00E867EB">
        <w:t> (risk management updating), </w:t>
      </w:r>
      <w:hyperlink r:id="rId70" w:tgtFrame="_blank" w:history="1">
        <w:r w:rsidRPr="00E867EB">
          <w:rPr>
            <w:rStyle w:val="Hyperlink"/>
          </w:rPr>
          <w:t>Article 72</w:t>
        </w:r>
      </w:hyperlink>
      <w:r w:rsidRPr="00E867EB">
        <w:t> (post-market monitoring), and </w:t>
      </w:r>
      <w:hyperlink r:id="rId71" w:tgtFrame="_blank" w:history="1">
        <w:r w:rsidRPr="00E867EB">
          <w:rPr>
            <w:rStyle w:val="Hyperlink"/>
          </w:rPr>
          <w:t>Article 20</w:t>
        </w:r>
      </w:hyperlink>
      <w:r w:rsidRPr="00E867EB">
        <w:t> (corrective actions).</w:t>
      </w:r>
    </w:p>
    <w:p w14:paraId="4B28DAFC" w14:textId="77777777" w:rsidR="00E867EB" w:rsidRPr="00E867EB" w:rsidRDefault="00E867EB" w:rsidP="00E867EB">
      <w:r w:rsidRPr="00E867EB">
        <w:rPr>
          <w:b/>
          <w:bCs/>
        </w:rPr>
        <w:t>Where ISO/IEC 42001 certification covers AI Act territory:</w:t>
      </w:r>
    </w:p>
    <w:p w14:paraId="7965E496" w14:textId="77777777" w:rsidR="00E867EB" w:rsidRPr="00E867EB" w:rsidRDefault="00E867EB" w:rsidP="00E867EB">
      <w:r w:rsidRPr="00E867EB">
        <w:t>ISO/IEC 42001:2023 provides a management system framework for AI. Organizations certified to ISO 42001 will find structural overlap with:</w:t>
      </w:r>
    </w:p>
    <w:p w14:paraId="54FF5609" w14:textId="77777777" w:rsidR="00E867EB" w:rsidRPr="00E867EB" w:rsidRDefault="00E867EB" w:rsidP="00E867EB">
      <w:pPr>
        <w:numPr>
          <w:ilvl w:val="0"/>
          <w:numId w:val="13"/>
        </w:numPr>
      </w:pPr>
      <w:hyperlink r:id="rId72" w:tgtFrame="_blank" w:history="1">
        <w:r w:rsidRPr="00E867EB">
          <w:rPr>
            <w:rStyle w:val="Hyperlink"/>
          </w:rPr>
          <w:t>Article 17</w:t>
        </w:r>
      </w:hyperlink>
      <w:r w:rsidRPr="00E867EB">
        <w:t> quality management system requirements (ISO 42001’s AIMS framework addresses many of the same organizational governance elements)</w:t>
      </w:r>
    </w:p>
    <w:p w14:paraId="629487BC" w14:textId="77777777" w:rsidR="00E867EB" w:rsidRPr="00E867EB" w:rsidRDefault="00E867EB" w:rsidP="00E867EB">
      <w:pPr>
        <w:numPr>
          <w:ilvl w:val="0"/>
          <w:numId w:val="13"/>
        </w:numPr>
      </w:pPr>
      <w:hyperlink r:id="rId73" w:tgtFrame="_blank" w:history="1">
        <w:r w:rsidRPr="00E867EB">
          <w:rPr>
            <w:rStyle w:val="Hyperlink"/>
          </w:rPr>
          <w:t>Article 9</w:t>
        </w:r>
      </w:hyperlink>
      <w:r w:rsidRPr="00E867EB">
        <w:t> risk management (ISO 42001 Clause 6.1 on risk assessment methodology)</w:t>
      </w:r>
    </w:p>
    <w:p w14:paraId="772829C9" w14:textId="77777777" w:rsidR="00E867EB" w:rsidRPr="00E867EB" w:rsidRDefault="00E867EB" w:rsidP="00E867EB">
      <w:pPr>
        <w:numPr>
          <w:ilvl w:val="0"/>
          <w:numId w:val="13"/>
        </w:numPr>
      </w:pPr>
      <w:hyperlink r:id="rId74" w:tgtFrame="_blank" w:history="1">
        <w:r w:rsidRPr="00E867EB">
          <w:rPr>
            <w:rStyle w:val="Hyperlink"/>
          </w:rPr>
          <w:t>Article 10</w:t>
        </w:r>
      </w:hyperlink>
      <w:r w:rsidRPr="00E867EB">
        <w:t xml:space="preserve"> data governance (ISO 42001 Annex B </w:t>
      </w:r>
      <w:proofErr w:type="gramStart"/>
      <w:r w:rsidRPr="00E867EB">
        <w:t>controls on</w:t>
      </w:r>
      <w:proofErr w:type="gramEnd"/>
      <w:r w:rsidRPr="00E867EB">
        <w:t xml:space="preserve"> data management)</w:t>
      </w:r>
    </w:p>
    <w:p w14:paraId="5AD7F2D6" w14:textId="77777777" w:rsidR="00E867EB" w:rsidRPr="00E867EB" w:rsidRDefault="00E867EB" w:rsidP="00E867EB">
      <w:r w:rsidRPr="00E867EB">
        <w:rPr>
          <w:b/>
          <w:bCs/>
        </w:rPr>
        <w:t>Where gaps remain regardless of NIST RMF or ISO 42001 implementation:</w:t>
      </w:r>
    </w:p>
    <w:p w14:paraId="298BEE76" w14:textId="77777777" w:rsidR="00E867EB" w:rsidRPr="00E867EB" w:rsidRDefault="00E867EB" w:rsidP="00E867EB">
      <w:r w:rsidRPr="00E867EB">
        <w:t>Neither framework satisfies these AI Act-specific requirements:</w:t>
      </w:r>
    </w:p>
    <w:p w14:paraId="7847DBDD" w14:textId="77777777" w:rsidR="00E867EB" w:rsidRPr="00E867EB" w:rsidRDefault="00E867EB" w:rsidP="00E867EB">
      <w:pPr>
        <w:numPr>
          <w:ilvl w:val="0"/>
          <w:numId w:val="14"/>
        </w:numPr>
      </w:pPr>
      <w:r w:rsidRPr="00E867EB">
        <w:rPr>
          <w:b/>
          <w:bCs/>
        </w:rPr>
        <w:t>Conformity assessment procedures</w:t>
      </w:r>
      <w:r w:rsidRPr="00E867EB">
        <w:t> (</w:t>
      </w:r>
      <w:hyperlink r:id="rId75" w:tgtFrame="_blank" w:history="1">
        <w:r w:rsidRPr="00E867EB">
          <w:rPr>
            <w:rStyle w:val="Hyperlink"/>
          </w:rPr>
          <w:t>Article 43</w:t>
        </w:r>
      </w:hyperlink>
      <w:r w:rsidRPr="00E867EB">
        <w:t>): The Act requires specific EU procedures (Annex VI or VII). NIST RMF and ISO 42001 have no equivalent.</w:t>
      </w:r>
    </w:p>
    <w:p w14:paraId="77CA938F" w14:textId="77777777" w:rsidR="00E867EB" w:rsidRPr="00E867EB" w:rsidRDefault="00E867EB" w:rsidP="00E867EB">
      <w:pPr>
        <w:numPr>
          <w:ilvl w:val="0"/>
          <w:numId w:val="14"/>
        </w:numPr>
      </w:pPr>
      <w:r w:rsidRPr="00E867EB">
        <w:rPr>
          <w:b/>
          <w:bCs/>
        </w:rPr>
        <w:t>EU database registration</w:t>
      </w:r>
      <w:r w:rsidRPr="00E867EB">
        <w:t> (</w:t>
      </w:r>
      <w:hyperlink r:id="rId76" w:tgtFrame="_blank" w:history="1">
        <w:r w:rsidRPr="00E867EB">
          <w:rPr>
            <w:rStyle w:val="Hyperlink"/>
          </w:rPr>
          <w:t>Article 49</w:t>
        </w:r>
      </w:hyperlink>
      <w:r w:rsidRPr="00E867EB">
        <w:t> and </w:t>
      </w:r>
      <w:hyperlink r:id="rId77" w:tgtFrame="_blank" w:history="1">
        <w:r w:rsidRPr="00E867EB">
          <w:rPr>
            <w:rStyle w:val="Hyperlink"/>
          </w:rPr>
          <w:t>Article 71</w:t>
        </w:r>
      </w:hyperlink>
      <w:r w:rsidRPr="00E867EB">
        <w:t>): No equivalent in either framework.</w:t>
      </w:r>
    </w:p>
    <w:p w14:paraId="318BD2E8" w14:textId="77777777" w:rsidR="00E867EB" w:rsidRPr="00E867EB" w:rsidRDefault="00E867EB" w:rsidP="00E867EB">
      <w:pPr>
        <w:numPr>
          <w:ilvl w:val="0"/>
          <w:numId w:val="14"/>
        </w:numPr>
      </w:pPr>
      <w:r w:rsidRPr="00E867EB">
        <w:rPr>
          <w:b/>
          <w:bCs/>
        </w:rPr>
        <w:t>CE marking</w:t>
      </w:r>
      <w:r w:rsidRPr="00E867EB">
        <w:t> (</w:t>
      </w:r>
      <w:hyperlink r:id="rId78" w:tgtFrame="_blank" w:history="1">
        <w:r w:rsidRPr="00E867EB">
          <w:rPr>
            <w:rStyle w:val="Hyperlink"/>
          </w:rPr>
          <w:t>Article 48</w:t>
        </w:r>
      </w:hyperlink>
      <w:r w:rsidRPr="00E867EB">
        <w:t>): EU-specific regulatory requirement.</w:t>
      </w:r>
    </w:p>
    <w:p w14:paraId="5C26CECB" w14:textId="77777777" w:rsidR="00E867EB" w:rsidRPr="00E867EB" w:rsidRDefault="00E867EB" w:rsidP="00E867EB">
      <w:pPr>
        <w:numPr>
          <w:ilvl w:val="0"/>
          <w:numId w:val="14"/>
        </w:numPr>
      </w:pPr>
      <w:r w:rsidRPr="00E867EB">
        <w:rPr>
          <w:b/>
          <w:bCs/>
        </w:rPr>
        <w:t>Annex IV technical documentation specifics</w:t>
      </w:r>
      <w:r w:rsidRPr="00E867EB">
        <w:t>: The Act prescribes specific content requirements for technical documentation that are more granular than what NIST RMF or ISO 42001 demand.</w:t>
      </w:r>
    </w:p>
    <w:p w14:paraId="57D82AA5" w14:textId="77777777" w:rsidR="00E867EB" w:rsidRPr="00E867EB" w:rsidRDefault="00E867EB" w:rsidP="00E867EB">
      <w:pPr>
        <w:numPr>
          <w:ilvl w:val="0"/>
          <w:numId w:val="14"/>
        </w:numPr>
      </w:pPr>
      <w:r w:rsidRPr="00E867EB">
        <w:rPr>
          <w:b/>
          <w:bCs/>
        </w:rPr>
        <w:t>Fundamental rights impact assessment</w:t>
      </w:r>
      <w:r w:rsidRPr="00E867EB">
        <w:t> (</w:t>
      </w:r>
      <w:hyperlink r:id="rId79" w:tgtFrame="_blank" w:history="1">
        <w:r w:rsidRPr="00E867EB">
          <w:rPr>
            <w:rStyle w:val="Hyperlink"/>
          </w:rPr>
          <w:t>Article 27</w:t>
        </w:r>
      </w:hyperlink>
      <w:r w:rsidRPr="00E867EB">
        <w:t>): Neither framework addresses fundamental rights assessment in the EU Charter context.</w:t>
      </w:r>
    </w:p>
    <w:p w14:paraId="1AE8E12C" w14:textId="77777777" w:rsidR="00E867EB" w:rsidRPr="00E867EB" w:rsidRDefault="00E867EB" w:rsidP="00E867EB">
      <w:pPr>
        <w:numPr>
          <w:ilvl w:val="0"/>
          <w:numId w:val="14"/>
        </w:numPr>
      </w:pPr>
      <w:r w:rsidRPr="00E867EB">
        <w:rPr>
          <w:b/>
          <w:bCs/>
        </w:rPr>
        <w:t>Prohibited practices</w:t>
      </w:r>
      <w:r w:rsidRPr="00E867EB">
        <w:t> (</w:t>
      </w:r>
      <w:hyperlink r:id="rId80" w:tgtFrame="_blank" w:history="1">
        <w:r w:rsidRPr="00E867EB">
          <w:rPr>
            <w:rStyle w:val="Hyperlink"/>
          </w:rPr>
          <w:t>Article 5</w:t>
        </w:r>
      </w:hyperlink>
      <w:r w:rsidRPr="00E867EB">
        <w:t>): Absolute prohibitions have no equivalent in voluntary frameworks.</w:t>
      </w:r>
    </w:p>
    <w:p w14:paraId="731317AB" w14:textId="77777777" w:rsidR="00E867EB" w:rsidRPr="00E867EB" w:rsidRDefault="00E867EB" w:rsidP="00E867EB">
      <w:pPr>
        <w:numPr>
          <w:ilvl w:val="0"/>
          <w:numId w:val="14"/>
        </w:numPr>
      </w:pPr>
      <w:r w:rsidRPr="00E867EB">
        <w:rPr>
          <w:b/>
          <w:bCs/>
        </w:rPr>
        <w:t>Serious incident reporting</w:t>
      </w:r>
      <w:r w:rsidRPr="00E867EB">
        <w:t> (</w:t>
      </w:r>
      <w:hyperlink r:id="rId81" w:tgtFrame="_blank" w:history="1">
        <w:r w:rsidRPr="00E867EB">
          <w:rPr>
            <w:rStyle w:val="Hyperlink"/>
          </w:rPr>
          <w:t>Article 73</w:t>
        </w:r>
      </w:hyperlink>
      <w:r w:rsidRPr="00E867EB">
        <w:t>): Specific reporting timelines and procedures to EU market surveillance authorities. Neither framework mandates this.</w:t>
      </w:r>
    </w:p>
    <w:p w14:paraId="3E7FEE49" w14:textId="77777777" w:rsidR="00E867EB" w:rsidRPr="00E867EB" w:rsidRDefault="00E867EB" w:rsidP="00E867EB">
      <w:pPr>
        <w:numPr>
          <w:ilvl w:val="0"/>
          <w:numId w:val="14"/>
        </w:numPr>
      </w:pPr>
      <w:r w:rsidRPr="00E867EB">
        <w:rPr>
          <w:b/>
          <w:bCs/>
        </w:rPr>
        <w:t>Transparency obligations</w:t>
      </w:r>
      <w:r w:rsidRPr="00E867EB">
        <w:t> (</w:t>
      </w:r>
      <w:hyperlink r:id="rId82" w:tgtFrame="_blank" w:history="1">
        <w:r w:rsidRPr="00E867EB">
          <w:rPr>
            <w:rStyle w:val="Hyperlink"/>
          </w:rPr>
          <w:t>Article 50</w:t>
        </w:r>
      </w:hyperlink>
      <w:r w:rsidRPr="00E867EB">
        <w:t xml:space="preserve">): Specific requirements for AI systems interacting with natural persons, generating content, or performing emotion recognition/biometric </w:t>
      </w:r>
      <w:proofErr w:type="spellStart"/>
      <w:r w:rsidRPr="00E867EB">
        <w:t>categorisation</w:t>
      </w:r>
      <w:proofErr w:type="spellEnd"/>
      <w:r w:rsidRPr="00E867EB">
        <w:t>.</w:t>
      </w:r>
    </w:p>
    <w:p w14:paraId="4CE54767" w14:textId="77777777" w:rsidR="00E867EB" w:rsidRPr="00E867EB" w:rsidRDefault="00E867EB" w:rsidP="00E867EB">
      <w:r w:rsidRPr="00E867EB">
        <w:rPr>
          <w:b/>
          <w:bCs/>
        </w:rPr>
        <w:t>The practical approach:</w:t>
      </w:r>
      <w:r w:rsidRPr="00E867EB">
        <w:t> Use NIST RMF and ISO 42001 as accelerators for organizational governance and risk management practices, then build EU-specific procedures on top for conformity assessment, registration, incident reporting, and fundamental rights assessment. Don’t assume certification to ISO 42001 equals AI Act compliance. It doesn’t. But it gives you a governance foundation that makes AI Act compliance easier to achieve.</w:t>
      </w:r>
    </w:p>
    <w:p w14:paraId="12F10EF1" w14:textId="77777777" w:rsidR="00E867EB" w:rsidRPr="00E867EB" w:rsidRDefault="00E867EB" w:rsidP="00E867EB">
      <w:r w:rsidRPr="00E867EB">
        <w:pict w14:anchorId="5930DCE9">
          <v:rect id="_x0000_i1101" style="width:0;height:.75pt" o:hralign="center" o:hrstd="t" o:hr="t" fillcolor="#a0a0a0" stroked="f"/>
        </w:pict>
      </w:r>
    </w:p>
    <w:p w14:paraId="44D6E2D5" w14:textId="77777777" w:rsidR="00E867EB" w:rsidRPr="00E867EB" w:rsidRDefault="00E867EB" w:rsidP="00E867EB">
      <w:pPr>
        <w:rPr>
          <w:b/>
          <w:bCs/>
        </w:rPr>
      </w:pPr>
      <w:r w:rsidRPr="00E867EB">
        <w:rPr>
          <w:b/>
          <w:bCs/>
        </w:rPr>
        <w:t>4. Technical Documentation Construction: Annex IV Line by Line</w:t>
      </w:r>
    </w:p>
    <w:p w14:paraId="02C8D076" w14:textId="77777777" w:rsidR="00E867EB" w:rsidRPr="00E867EB" w:rsidRDefault="00E867EB" w:rsidP="00E867EB">
      <w:r w:rsidRPr="00E867EB">
        <w:lastRenderedPageBreak/>
        <w:t xml:space="preserve">The intermediate tab lists what documentation is required. This section addresses how to build it, where the specification demands precision that many organizations underestimate, and </w:t>
      </w:r>
      <w:proofErr w:type="gramStart"/>
      <w:r w:rsidRPr="00E867EB">
        <w:t>where</w:t>
      </w:r>
      <w:proofErr w:type="gramEnd"/>
      <w:r w:rsidRPr="00E867EB">
        <w:t xml:space="preserve"> getting the intended purpose wrong cascades through the entire compliance file.</w:t>
      </w:r>
    </w:p>
    <w:p w14:paraId="6CF1F27E" w14:textId="77777777" w:rsidR="00E867EB" w:rsidRPr="00E867EB" w:rsidRDefault="00E867EB" w:rsidP="00E867EB">
      <w:pPr>
        <w:rPr>
          <w:b/>
          <w:bCs/>
        </w:rPr>
      </w:pPr>
      <w:r w:rsidRPr="00E867EB">
        <w:rPr>
          <w:b/>
          <w:bCs/>
        </w:rPr>
        <w:t>4.1 Section 1: General Description of the AI System</w:t>
      </w:r>
    </w:p>
    <w:p w14:paraId="18F0AB63" w14:textId="77777777" w:rsidR="00E867EB" w:rsidRPr="00E867EB" w:rsidRDefault="00E867EB" w:rsidP="00E867EB">
      <w:hyperlink r:id="rId83" w:tgtFrame="_blank" w:history="1">
        <w:r w:rsidRPr="00E867EB">
          <w:rPr>
            <w:rStyle w:val="Hyperlink"/>
          </w:rPr>
          <w:t>Annex IV, Section 1</w:t>
        </w:r>
      </w:hyperlink>
      <w:r w:rsidRPr="00E867EB">
        <w:t> requires:</w:t>
      </w:r>
    </w:p>
    <w:p w14:paraId="63EBB6D3" w14:textId="77777777" w:rsidR="00E867EB" w:rsidRPr="00E867EB" w:rsidRDefault="00E867EB" w:rsidP="00E867EB">
      <w:pPr>
        <w:numPr>
          <w:ilvl w:val="0"/>
          <w:numId w:val="15"/>
        </w:numPr>
      </w:pPr>
      <w:r w:rsidRPr="00E867EB">
        <w:t>The system’s intended purpose</w:t>
      </w:r>
    </w:p>
    <w:p w14:paraId="64D1AFE4" w14:textId="77777777" w:rsidR="00E867EB" w:rsidRPr="00E867EB" w:rsidRDefault="00E867EB" w:rsidP="00E867EB">
      <w:pPr>
        <w:numPr>
          <w:ilvl w:val="0"/>
          <w:numId w:val="15"/>
        </w:numPr>
      </w:pPr>
      <w:r w:rsidRPr="00E867EB">
        <w:t xml:space="preserve">The provider’s name and </w:t>
      </w:r>
      <w:proofErr w:type="gramStart"/>
      <w:r w:rsidRPr="00E867EB">
        <w:t>version</w:t>
      </w:r>
      <w:proofErr w:type="gramEnd"/>
      <w:r w:rsidRPr="00E867EB">
        <w:t xml:space="preserve"> information</w:t>
      </w:r>
    </w:p>
    <w:p w14:paraId="5B55A59A" w14:textId="77777777" w:rsidR="00E867EB" w:rsidRPr="00E867EB" w:rsidRDefault="00E867EB" w:rsidP="00E867EB">
      <w:pPr>
        <w:numPr>
          <w:ilvl w:val="0"/>
          <w:numId w:val="15"/>
        </w:numPr>
      </w:pPr>
      <w:r w:rsidRPr="00E867EB">
        <w:t>How the system interacts with hardware or software not part of the system itself</w:t>
      </w:r>
    </w:p>
    <w:p w14:paraId="7FBEF4BC" w14:textId="77777777" w:rsidR="00E867EB" w:rsidRPr="00E867EB" w:rsidRDefault="00E867EB" w:rsidP="00E867EB">
      <w:pPr>
        <w:numPr>
          <w:ilvl w:val="0"/>
          <w:numId w:val="15"/>
        </w:numPr>
      </w:pPr>
      <w:r w:rsidRPr="00E867EB">
        <w:t>Versions of relevant software or firmware and any requirements related to version updates</w:t>
      </w:r>
    </w:p>
    <w:p w14:paraId="5BBFD0CC" w14:textId="77777777" w:rsidR="00E867EB" w:rsidRPr="00E867EB" w:rsidRDefault="00E867EB" w:rsidP="00E867EB">
      <w:pPr>
        <w:numPr>
          <w:ilvl w:val="0"/>
          <w:numId w:val="15"/>
        </w:numPr>
      </w:pPr>
      <w:r w:rsidRPr="00E867EB">
        <w:t>Description of all forms in which the system is placed on the market or put into service</w:t>
      </w:r>
    </w:p>
    <w:p w14:paraId="68BA0FBA" w14:textId="77777777" w:rsidR="00E867EB" w:rsidRPr="00E867EB" w:rsidRDefault="00E867EB" w:rsidP="00E867EB">
      <w:pPr>
        <w:numPr>
          <w:ilvl w:val="0"/>
          <w:numId w:val="15"/>
        </w:numPr>
      </w:pPr>
      <w:r w:rsidRPr="00E867EB">
        <w:t>Description of the hardware on which the system is intended to run</w:t>
      </w:r>
    </w:p>
    <w:p w14:paraId="44FA48CF" w14:textId="77777777" w:rsidR="00E867EB" w:rsidRPr="00E867EB" w:rsidRDefault="00E867EB" w:rsidP="00E867EB">
      <w:pPr>
        <w:numPr>
          <w:ilvl w:val="0"/>
          <w:numId w:val="15"/>
        </w:numPr>
      </w:pPr>
      <w:r w:rsidRPr="00E867EB">
        <w:t>If the system is a component of a product, photographs or illustrations of external features, markings, and internal layout</w:t>
      </w:r>
    </w:p>
    <w:p w14:paraId="50C7F8CD" w14:textId="77777777" w:rsidR="00E867EB" w:rsidRPr="00E867EB" w:rsidRDefault="00E867EB" w:rsidP="00E867EB">
      <w:pPr>
        <w:numPr>
          <w:ilvl w:val="0"/>
          <w:numId w:val="15"/>
        </w:numPr>
      </w:pPr>
      <w:r w:rsidRPr="00E867EB">
        <w:t>A basic description of the user interface provided to the deployer</w:t>
      </w:r>
    </w:p>
    <w:p w14:paraId="22A0B4E1" w14:textId="77777777" w:rsidR="00E867EB" w:rsidRPr="00E867EB" w:rsidRDefault="00E867EB" w:rsidP="00E867EB">
      <w:r w:rsidRPr="00E867EB">
        <w:rPr>
          <w:b/>
          <w:bCs/>
        </w:rPr>
        <w:t>Where organizations fail:</w:t>
      </w:r>
      <w:r w:rsidRPr="00E867EB">
        <w:t> The “intended purpose” definition in </w:t>
      </w:r>
      <w:hyperlink r:id="rId84" w:tgtFrame="_blank" w:history="1">
        <w:r w:rsidRPr="00E867EB">
          <w:rPr>
            <w:rStyle w:val="Hyperlink"/>
          </w:rPr>
          <w:t>Article 3(12)</w:t>
        </w:r>
      </w:hyperlink>
      <w:r w:rsidRPr="00E867EB">
        <w:t> is the most consequential element. The intended purpose determines the risk classification, shapes the conformity assessment scope, and frames the entire technical documentation. If marketing materials describe capabilities beyond the documented intended purpose, or if the system is used by deployers in ways the documentation doesn’t cover, the compliance file is undermined.</w:t>
      </w:r>
    </w:p>
    <w:p w14:paraId="0A47DE81" w14:textId="77777777" w:rsidR="00E867EB" w:rsidRPr="00E867EB" w:rsidRDefault="00E867EB" w:rsidP="00E867EB">
      <w:r w:rsidRPr="00E867EB">
        <w:t>Specificity matters. “AI system for HR analytics” is insufficient. “AI system intended to rank job applicants for initial screening based on CV analysis against role-specific criteria, providing a ranked shortlist and confidence scores to human recruiters who make final selection decisions” defines the boundary clearly.</w:t>
      </w:r>
    </w:p>
    <w:p w14:paraId="022FA846" w14:textId="77777777" w:rsidR="00E867EB" w:rsidRPr="00E867EB" w:rsidRDefault="00E867EB" w:rsidP="00E867EB">
      <w:pPr>
        <w:rPr>
          <w:b/>
          <w:bCs/>
        </w:rPr>
      </w:pPr>
      <w:r w:rsidRPr="00E867EB">
        <w:rPr>
          <w:b/>
          <w:bCs/>
        </w:rPr>
        <w:t>4.2 Section 2: Detailed Description of System Elements and Development Process</w:t>
      </w:r>
    </w:p>
    <w:p w14:paraId="79573BC0" w14:textId="77777777" w:rsidR="00E867EB" w:rsidRPr="00E867EB" w:rsidRDefault="00E867EB" w:rsidP="00E867EB">
      <w:hyperlink r:id="rId85" w:tgtFrame="_blank" w:history="1">
        <w:r w:rsidRPr="00E867EB">
          <w:rPr>
            <w:rStyle w:val="Hyperlink"/>
          </w:rPr>
          <w:t>Annex IV, Section 2</w:t>
        </w:r>
      </w:hyperlink>
      <w:r w:rsidRPr="00E867EB">
        <w:t> requires technical specificity that varies by ML architecture:</w:t>
      </w:r>
    </w:p>
    <w:p w14:paraId="229C290B" w14:textId="77777777" w:rsidR="00E867EB" w:rsidRPr="00E867EB" w:rsidRDefault="00E867EB" w:rsidP="00E867EB">
      <w:pPr>
        <w:numPr>
          <w:ilvl w:val="0"/>
          <w:numId w:val="16"/>
        </w:numPr>
      </w:pPr>
      <w:r w:rsidRPr="00E867EB">
        <w:t>(a) Methods and steps for development, including pre-trained systems or tools, and how those were used</w:t>
      </w:r>
    </w:p>
    <w:p w14:paraId="5BDF51F4" w14:textId="77777777" w:rsidR="00E867EB" w:rsidRPr="00E867EB" w:rsidRDefault="00E867EB" w:rsidP="00E867EB">
      <w:pPr>
        <w:numPr>
          <w:ilvl w:val="0"/>
          <w:numId w:val="16"/>
        </w:numPr>
      </w:pPr>
      <w:r w:rsidRPr="00E867EB">
        <w:lastRenderedPageBreak/>
        <w:t>(b) Design specifications: general logic, algorithms, key design choices including rationale and assumptions</w:t>
      </w:r>
    </w:p>
    <w:p w14:paraId="2157D802" w14:textId="77777777" w:rsidR="00E867EB" w:rsidRPr="00E867EB" w:rsidRDefault="00E867EB" w:rsidP="00E867EB">
      <w:pPr>
        <w:numPr>
          <w:ilvl w:val="0"/>
          <w:numId w:val="16"/>
        </w:numPr>
      </w:pPr>
      <w:r w:rsidRPr="00E867EB">
        <w:t>(c) System architecture explaining component relationships</w:t>
      </w:r>
    </w:p>
    <w:p w14:paraId="42067A73" w14:textId="77777777" w:rsidR="00E867EB" w:rsidRPr="00E867EB" w:rsidRDefault="00E867EB" w:rsidP="00E867EB">
      <w:pPr>
        <w:numPr>
          <w:ilvl w:val="0"/>
          <w:numId w:val="16"/>
        </w:numPr>
      </w:pPr>
      <w:r w:rsidRPr="00E867EB">
        <w:t>(d) Computational resources used for development, training, testing, validation</w:t>
      </w:r>
    </w:p>
    <w:p w14:paraId="0D9470B0" w14:textId="77777777" w:rsidR="00E867EB" w:rsidRPr="00E867EB" w:rsidRDefault="00E867EB" w:rsidP="00E867EB">
      <w:pPr>
        <w:numPr>
          <w:ilvl w:val="0"/>
          <w:numId w:val="16"/>
        </w:numPr>
      </w:pPr>
      <w:r w:rsidRPr="00E867EB">
        <w:t>(e) Data requirements in terms of datasheets describing training methodologies and techniques, training data sets used (provenance, scope, main characteristics, labelling, cleaning, enrichment)</w:t>
      </w:r>
    </w:p>
    <w:p w14:paraId="12B3BA6D" w14:textId="77777777" w:rsidR="00E867EB" w:rsidRPr="00E867EB" w:rsidRDefault="00E867EB" w:rsidP="00E867EB">
      <w:pPr>
        <w:numPr>
          <w:ilvl w:val="0"/>
          <w:numId w:val="16"/>
        </w:numPr>
      </w:pPr>
      <w:r w:rsidRPr="00E867EB">
        <w:t>(f) For systems that continue learning post-deployment: how the learning was predetermined and documented as non-substantial modification per </w:t>
      </w:r>
      <w:hyperlink r:id="rId86" w:tgtFrame="_blank" w:history="1">
        <w:r w:rsidRPr="00E867EB">
          <w:rPr>
            <w:rStyle w:val="Hyperlink"/>
          </w:rPr>
          <w:t>Article 43(4)</w:t>
        </w:r>
      </w:hyperlink>
    </w:p>
    <w:p w14:paraId="14039AB4" w14:textId="77777777" w:rsidR="00E867EB" w:rsidRPr="00E867EB" w:rsidRDefault="00E867EB" w:rsidP="00E867EB">
      <w:pPr>
        <w:numPr>
          <w:ilvl w:val="0"/>
          <w:numId w:val="16"/>
        </w:numPr>
      </w:pPr>
      <w:r w:rsidRPr="00E867EB">
        <w:t>(g) Assessment of potential discriminatory impacts, considering intended purpose</w:t>
      </w:r>
    </w:p>
    <w:p w14:paraId="69529A38" w14:textId="77777777" w:rsidR="00E867EB" w:rsidRPr="00E867EB" w:rsidRDefault="00E867EB" w:rsidP="00E867EB">
      <w:pPr>
        <w:numPr>
          <w:ilvl w:val="0"/>
          <w:numId w:val="16"/>
        </w:numPr>
      </w:pPr>
      <w:r w:rsidRPr="00E867EB">
        <w:t>(h) Input data and information: type, format, structure, origin</w:t>
      </w:r>
    </w:p>
    <w:p w14:paraId="20F34457" w14:textId="77777777" w:rsidR="00E867EB" w:rsidRPr="00E867EB" w:rsidRDefault="00E867EB" w:rsidP="00E867EB">
      <w:r w:rsidRPr="00E867EB">
        <w:rPr>
          <w:b/>
          <w:bCs/>
        </w:rPr>
        <w:t>The data governance documentation challenge:</w:t>
      </w:r>
      <w:r w:rsidRPr="00E867EB">
        <w:t> Section 2(d-f), combined with </w:t>
      </w:r>
      <w:hyperlink r:id="rId87" w:tgtFrame="_blank" w:history="1">
        <w:r w:rsidRPr="00E867EB">
          <w:rPr>
            <w:rStyle w:val="Hyperlink"/>
          </w:rPr>
          <w:t>Article 10</w:t>
        </w:r>
      </w:hyperlink>
      <w:r w:rsidRPr="00E867EB">
        <w:t> requirements, demands documentation of data collection processes, data preparation, labelling protocols, cleaning methodologies, and enrichment techniques. For organizations using proprietary data pipelines or third-party data sources, this documentation chain can be difficult to reconstruct retrospectively. Build documentation practices into the development pipeline, not as an afterthought.</w:t>
      </w:r>
    </w:p>
    <w:p w14:paraId="2F9189F5" w14:textId="77777777" w:rsidR="00E867EB" w:rsidRPr="00E867EB" w:rsidRDefault="00E867EB" w:rsidP="00E867EB">
      <w:pPr>
        <w:rPr>
          <w:b/>
          <w:bCs/>
        </w:rPr>
      </w:pPr>
      <w:r w:rsidRPr="00E867EB">
        <w:rPr>
          <w:b/>
          <w:bCs/>
        </w:rPr>
        <w:t>4.3 Section 3: Monitoring, Functioning, and Control</w:t>
      </w:r>
    </w:p>
    <w:p w14:paraId="7D66595C" w14:textId="77777777" w:rsidR="00E867EB" w:rsidRPr="00E867EB" w:rsidRDefault="00E867EB" w:rsidP="00E867EB">
      <w:hyperlink r:id="rId88" w:tgtFrame="_blank" w:history="1">
        <w:r w:rsidRPr="00E867EB">
          <w:rPr>
            <w:rStyle w:val="Hyperlink"/>
          </w:rPr>
          <w:t>Annex IV, Section 3</w:t>
        </w:r>
      </w:hyperlink>
      <w:r w:rsidRPr="00E867EB">
        <w:t> covers the operational characteristics:</w:t>
      </w:r>
    </w:p>
    <w:p w14:paraId="5A7F2B10" w14:textId="77777777" w:rsidR="00E867EB" w:rsidRPr="00E867EB" w:rsidRDefault="00E867EB" w:rsidP="00E867EB">
      <w:pPr>
        <w:numPr>
          <w:ilvl w:val="0"/>
          <w:numId w:val="17"/>
        </w:numPr>
      </w:pPr>
      <w:r w:rsidRPr="00E867EB">
        <w:t>Capabilities and limitations of the system, including degree of accuracy for specific persons or groups</w:t>
      </w:r>
    </w:p>
    <w:p w14:paraId="5BA3DC67" w14:textId="77777777" w:rsidR="00E867EB" w:rsidRPr="00E867EB" w:rsidRDefault="00E867EB" w:rsidP="00E867EB">
      <w:pPr>
        <w:numPr>
          <w:ilvl w:val="0"/>
          <w:numId w:val="17"/>
        </w:numPr>
      </w:pPr>
      <w:r w:rsidRPr="00E867EB">
        <w:t>Foreseeable unintended outcomes and sources of risk to health, safety, and fundamental rights</w:t>
      </w:r>
    </w:p>
    <w:p w14:paraId="384B4238" w14:textId="77777777" w:rsidR="00E867EB" w:rsidRPr="00E867EB" w:rsidRDefault="00E867EB" w:rsidP="00E867EB">
      <w:pPr>
        <w:numPr>
          <w:ilvl w:val="0"/>
          <w:numId w:val="17"/>
        </w:numPr>
      </w:pPr>
      <w:r w:rsidRPr="00E867EB">
        <w:t>Human oversight measures per </w:t>
      </w:r>
      <w:hyperlink r:id="rId89" w:tgtFrame="_blank" w:history="1">
        <w:r w:rsidRPr="00E867EB">
          <w:rPr>
            <w:rStyle w:val="Hyperlink"/>
          </w:rPr>
          <w:t>Article 14</w:t>
        </w:r>
      </w:hyperlink>
      <w:r w:rsidRPr="00E867EB">
        <w:t>, including technical measures to facilitate interpretation of outputs by deployers</w:t>
      </w:r>
    </w:p>
    <w:p w14:paraId="3A384047" w14:textId="77777777" w:rsidR="00E867EB" w:rsidRPr="00E867EB" w:rsidRDefault="00E867EB" w:rsidP="00E867EB">
      <w:pPr>
        <w:numPr>
          <w:ilvl w:val="0"/>
          <w:numId w:val="17"/>
        </w:numPr>
      </w:pPr>
      <w:r w:rsidRPr="00E867EB">
        <w:t>Specifications for input data</w:t>
      </w:r>
    </w:p>
    <w:p w14:paraId="1B06A6C8" w14:textId="77777777" w:rsidR="00E867EB" w:rsidRPr="00E867EB" w:rsidRDefault="00E867EB" w:rsidP="00E867EB">
      <w:r w:rsidRPr="00E867EB">
        <w:rPr>
          <w:b/>
          <w:bCs/>
        </w:rPr>
        <w:t>Translating Article 14 into system design:</w:t>
      </w:r>
      <w:r w:rsidRPr="00E867EB">
        <w:t> </w:t>
      </w:r>
      <w:hyperlink r:id="rId90" w:tgtFrame="_blank" w:history="1">
        <w:r w:rsidRPr="00E867EB">
          <w:rPr>
            <w:rStyle w:val="Hyperlink"/>
          </w:rPr>
          <w:t>Article 14(4)(b)</w:t>
        </w:r>
      </w:hyperlink>
      <w:r w:rsidRPr="00E867EB">
        <w:t xml:space="preserve"> requires that human oversight persons are enabled to “correctly interpret the high-risk AI system’s output.” What “correctly interpret” means varies dramatically by system type. For a credit scoring system, it might mean providing feature-importance breakdowns alongside risk scores. For a biometric identification system, it means the two-person verification requirement </w:t>
      </w:r>
      <w:r w:rsidRPr="00E867EB">
        <w:lastRenderedPageBreak/>
        <w:t>under </w:t>
      </w:r>
      <w:hyperlink r:id="rId91" w:tgtFrame="_blank" w:history="1">
        <w:r w:rsidRPr="00E867EB">
          <w:rPr>
            <w:rStyle w:val="Hyperlink"/>
          </w:rPr>
          <w:t>Article 14(5)</w:t>
        </w:r>
      </w:hyperlink>
      <w:r w:rsidRPr="00E867EB">
        <w:t>. For an autonomous vehicle safety component, it might mean real-time override capabilities with latency specifications.</w:t>
      </w:r>
    </w:p>
    <w:p w14:paraId="693908F7" w14:textId="77777777" w:rsidR="00E867EB" w:rsidRPr="00E867EB" w:rsidRDefault="00E867EB" w:rsidP="00E867EB">
      <w:r w:rsidRPr="00E867EB">
        <w:t>The documentation must describe both the technical implementation of oversight and the human competence requirements (</w:t>
      </w:r>
      <w:hyperlink r:id="rId92" w:tgtFrame="_blank" w:history="1">
        <w:r w:rsidRPr="00E867EB">
          <w:rPr>
            <w:rStyle w:val="Hyperlink"/>
          </w:rPr>
          <w:t>Article 14(4)</w:t>
        </w:r>
      </w:hyperlink>
      <w:r w:rsidRPr="00E867EB">
        <w:t> specifies “necessary competence, training and authority”). This connects to </w:t>
      </w:r>
      <w:hyperlink r:id="rId93" w:tgtFrame="_blank" w:history="1">
        <w:r w:rsidRPr="00E867EB">
          <w:rPr>
            <w:rStyle w:val="Hyperlink"/>
          </w:rPr>
          <w:t>Article 4</w:t>
        </w:r>
      </w:hyperlink>
      <w:r w:rsidRPr="00E867EB">
        <w:t> AI literacy obligations and deployer obligations under </w:t>
      </w:r>
      <w:hyperlink r:id="rId94" w:tgtFrame="_blank" w:history="1">
        <w:r w:rsidRPr="00E867EB">
          <w:rPr>
            <w:rStyle w:val="Hyperlink"/>
          </w:rPr>
          <w:t>Article 26(1)</w:t>
        </w:r>
      </w:hyperlink>
      <w:r w:rsidRPr="00E867EB">
        <w:t>.</w:t>
      </w:r>
    </w:p>
    <w:p w14:paraId="4C19E26B" w14:textId="77777777" w:rsidR="00E867EB" w:rsidRPr="00E867EB" w:rsidRDefault="00E867EB" w:rsidP="00E867EB">
      <w:pPr>
        <w:rPr>
          <w:b/>
          <w:bCs/>
        </w:rPr>
      </w:pPr>
      <w:r w:rsidRPr="00E867EB">
        <w:rPr>
          <w:b/>
          <w:bCs/>
        </w:rPr>
        <w:t>4.4 Section 4: Validation and Testing</w:t>
      </w:r>
    </w:p>
    <w:p w14:paraId="180FF1EC" w14:textId="77777777" w:rsidR="00E867EB" w:rsidRPr="00E867EB" w:rsidRDefault="00E867EB" w:rsidP="00E867EB">
      <w:hyperlink r:id="rId95" w:tgtFrame="_blank" w:history="1">
        <w:r w:rsidRPr="00E867EB">
          <w:rPr>
            <w:rStyle w:val="Hyperlink"/>
          </w:rPr>
          <w:t>Annex IV, Section 4</w:t>
        </w:r>
      </w:hyperlink>
      <w:r w:rsidRPr="00E867EB">
        <w:t> requires:</w:t>
      </w:r>
    </w:p>
    <w:p w14:paraId="36C0B66A" w14:textId="77777777" w:rsidR="00E867EB" w:rsidRPr="00E867EB" w:rsidRDefault="00E867EB" w:rsidP="00E867EB">
      <w:pPr>
        <w:numPr>
          <w:ilvl w:val="0"/>
          <w:numId w:val="18"/>
        </w:numPr>
      </w:pPr>
      <w:r w:rsidRPr="00E867EB">
        <w:t>Description of validation and testing procedures, including information on the validation and testing data used, testing logs, and test reports</w:t>
      </w:r>
    </w:p>
    <w:p w14:paraId="1A22C585" w14:textId="77777777" w:rsidR="00E867EB" w:rsidRPr="00E867EB" w:rsidRDefault="00E867EB" w:rsidP="00E867EB">
      <w:pPr>
        <w:numPr>
          <w:ilvl w:val="0"/>
          <w:numId w:val="18"/>
        </w:numPr>
      </w:pPr>
      <w:r w:rsidRPr="00E867EB">
        <w:t>Metrics used to measure accuracy, robustness, and compliance with other relevant requirements per </w:t>
      </w:r>
      <w:hyperlink r:id="rId96" w:tgtFrame="_blank" w:history="1">
        <w:r w:rsidRPr="00E867EB">
          <w:rPr>
            <w:rStyle w:val="Hyperlink"/>
          </w:rPr>
          <w:t>Article 15</w:t>
        </w:r>
      </w:hyperlink>
      <w:r w:rsidRPr="00E867EB">
        <w:t>, and any discriminatory impacts</w:t>
      </w:r>
    </w:p>
    <w:p w14:paraId="43003DF5" w14:textId="77777777" w:rsidR="00E867EB" w:rsidRPr="00E867EB" w:rsidRDefault="00E867EB" w:rsidP="00E867EB">
      <w:pPr>
        <w:numPr>
          <w:ilvl w:val="0"/>
          <w:numId w:val="18"/>
        </w:numPr>
      </w:pPr>
      <w:r w:rsidRPr="00E867EB">
        <w:t>Potentially discriminatory impacts specifically on persons or groups per </w:t>
      </w:r>
      <w:hyperlink r:id="rId97" w:tgtFrame="_blank" w:history="1">
        <w:r w:rsidRPr="00E867EB">
          <w:rPr>
            <w:rStyle w:val="Hyperlink"/>
          </w:rPr>
          <w:t>Article 10(2)(f)</w:t>
        </w:r>
      </w:hyperlink>
    </w:p>
    <w:p w14:paraId="7B55B425" w14:textId="77777777" w:rsidR="00E867EB" w:rsidRPr="00E867EB" w:rsidRDefault="00E867EB" w:rsidP="00E867EB">
      <w:pPr>
        <w:numPr>
          <w:ilvl w:val="0"/>
          <w:numId w:val="18"/>
        </w:numPr>
      </w:pPr>
      <w:r w:rsidRPr="00E867EB">
        <w:t>Testing procedures and methodology, and testing results</w:t>
      </w:r>
    </w:p>
    <w:p w14:paraId="21ECEEF9" w14:textId="77777777" w:rsidR="00E867EB" w:rsidRPr="00E867EB" w:rsidRDefault="00E867EB" w:rsidP="00E867EB">
      <w:r w:rsidRPr="00E867EB">
        <w:rPr>
          <w:b/>
          <w:bCs/>
        </w:rPr>
        <w:t>The “preliminary defined metrics and probabilistic thresholds” problem:</w:t>
      </w:r>
      <w:r w:rsidRPr="00E867EB">
        <w:t> </w:t>
      </w:r>
      <w:hyperlink r:id="rId98" w:tgtFrame="_blank" w:history="1">
        <w:r w:rsidRPr="00E867EB">
          <w:rPr>
            <w:rStyle w:val="Hyperlink"/>
          </w:rPr>
          <w:t>Article 15(2)</w:t>
        </w:r>
      </w:hyperlink>
      <w:r w:rsidRPr="00E867EB">
        <w:t> requires that accuracy levels and metrics are “declared in the accompanying instructions of use.” </w:t>
      </w:r>
      <w:hyperlink r:id="rId99" w:tgtFrame="_blank" w:history="1">
        <w:r w:rsidRPr="00E867EB">
          <w:rPr>
            <w:rStyle w:val="Hyperlink"/>
          </w:rPr>
          <w:t>Article 15(3)</w:t>
        </w:r>
      </w:hyperlink>
      <w:r w:rsidRPr="00E867EB">
        <w:t> requires resilience against errors, faults, and inconsistencies. But the Act doesn’t prescribe specific threshold values. Until harmonized standards or Commission guidance specify benchmarks, providers must define and justify their own accuracy thresholds. Document the rationale for chosen thresholds, the testing conditions, the validation data characteristics, and the known limitations.</w:t>
      </w:r>
    </w:p>
    <w:p w14:paraId="19987FEE" w14:textId="77777777" w:rsidR="00E867EB" w:rsidRPr="00E867EB" w:rsidRDefault="00E867EB" w:rsidP="00E867EB">
      <w:r w:rsidRPr="00E867EB">
        <w:pict w14:anchorId="4297A971">
          <v:rect id="_x0000_i1102" style="width:0;height:.75pt" o:hralign="center" o:hrstd="t" o:hr="t" fillcolor="#a0a0a0" stroked="f"/>
        </w:pict>
      </w:r>
    </w:p>
    <w:p w14:paraId="0A708D27" w14:textId="77777777" w:rsidR="00E867EB" w:rsidRPr="00E867EB" w:rsidRDefault="00E867EB" w:rsidP="00E867EB">
      <w:pPr>
        <w:rPr>
          <w:b/>
          <w:bCs/>
        </w:rPr>
      </w:pPr>
      <w:r w:rsidRPr="00E867EB">
        <w:rPr>
          <w:b/>
          <w:bCs/>
        </w:rPr>
        <w:t>5. General-Purpose AI Model Compliance (Articles 51-55)</w:t>
      </w:r>
    </w:p>
    <w:p w14:paraId="1AE3D3C8" w14:textId="77777777" w:rsidR="00E867EB" w:rsidRPr="00E867EB" w:rsidRDefault="00E867EB" w:rsidP="00E867EB">
      <w:r w:rsidRPr="00E867EB">
        <w:t>GPAI model obligations form their own compliance domain with a separate documentation standard (Annex XI instead of Annex IV) and a distinct enforcement mechanism (AI Office rather than national market surveillance authorities).</w:t>
      </w:r>
    </w:p>
    <w:p w14:paraId="3140657E" w14:textId="77777777" w:rsidR="00E867EB" w:rsidRPr="00E867EB" w:rsidRDefault="00E867EB" w:rsidP="00E867EB">
      <w:pPr>
        <w:rPr>
          <w:b/>
          <w:bCs/>
        </w:rPr>
      </w:pPr>
      <w:r w:rsidRPr="00E867EB">
        <w:rPr>
          <w:b/>
          <w:bCs/>
        </w:rPr>
        <w:t>5.1 Classification: Standard vs. Systemic Risk</w:t>
      </w:r>
    </w:p>
    <w:p w14:paraId="0E825158" w14:textId="77777777" w:rsidR="00E867EB" w:rsidRPr="00E867EB" w:rsidRDefault="00E867EB" w:rsidP="00E867EB">
      <w:hyperlink r:id="rId100" w:tgtFrame="_blank" w:history="1">
        <w:r w:rsidRPr="00E867EB">
          <w:rPr>
            <w:rStyle w:val="Hyperlink"/>
          </w:rPr>
          <w:t>Article 51</w:t>
        </w:r>
      </w:hyperlink>
      <w:r w:rsidRPr="00E867EB">
        <w:t> creates two tiers:</w:t>
      </w:r>
    </w:p>
    <w:p w14:paraId="387743C8" w14:textId="77777777" w:rsidR="00E867EB" w:rsidRPr="00E867EB" w:rsidRDefault="00E867EB" w:rsidP="00E867EB">
      <w:r w:rsidRPr="00E867EB">
        <w:rPr>
          <w:b/>
          <w:bCs/>
        </w:rPr>
        <w:t>Standard GPAI models</w:t>
      </w:r>
      <w:r w:rsidRPr="00E867EB">
        <w:t> are subject to </w:t>
      </w:r>
      <w:hyperlink r:id="rId101" w:tgtFrame="_blank" w:history="1">
        <w:r w:rsidRPr="00E867EB">
          <w:rPr>
            <w:rStyle w:val="Hyperlink"/>
          </w:rPr>
          <w:t>Article 53</w:t>
        </w:r>
      </w:hyperlink>
      <w:r w:rsidRPr="00E867EB">
        <w:t> transparency obligations.</w:t>
      </w:r>
    </w:p>
    <w:p w14:paraId="52702CF1" w14:textId="77777777" w:rsidR="00E867EB" w:rsidRPr="00E867EB" w:rsidRDefault="00E867EB" w:rsidP="00E867EB">
      <w:r w:rsidRPr="00E867EB">
        <w:rPr>
          <w:b/>
          <w:bCs/>
        </w:rPr>
        <w:lastRenderedPageBreak/>
        <w:t>GPAI models with systemic risk</w:t>
      </w:r>
      <w:r w:rsidRPr="00E867EB">
        <w:t> are subject to additional obligations under </w:t>
      </w:r>
      <w:hyperlink r:id="rId102" w:tgtFrame="_blank" w:history="1">
        <w:r w:rsidRPr="00E867EB">
          <w:rPr>
            <w:rStyle w:val="Hyperlink"/>
          </w:rPr>
          <w:t>Article 55</w:t>
        </w:r>
      </w:hyperlink>
      <w:r w:rsidRPr="00E867EB">
        <w:t>. A model is classified as systemic risk when:</w:t>
      </w:r>
    </w:p>
    <w:p w14:paraId="3478F8DC" w14:textId="77777777" w:rsidR="00E867EB" w:rsidRPr="00E867EB" w:rsidRDefault="00E867EB" w:rsidP="00E867EB">
      <w:pPr>
        <w:numPr>
          <w:ilvl w:val="0"/>
          <w:numId w:val="19"/>
        </w:numPr>
      </w:pPr>
      <w:r w:rsidRPr="00E867EB">
        <w:t>It has “high impact capabilities” evaluated based on tools and methodologies including benchmarks per </w:t>
      </w:r>
      <w:hyperlink r:id="rId103" w:tgtFrame="_blank" w:history="1">
        <w:r w:rsidRPr="00E867EB">
          <w:rPr>
            <w:rStyle w:val="Hyperlink"/>
          </w:rPr>
          <w:t>Annex XIII</w:t>
        </w:r>
      </w:hyperlink>
      <w:r w:rsidRPr="00E867EB">
        <w:t>, or</w:t>
      </w:r>
    </w:p>
    <w:p w14:paraId="1FEFEB90" w14:textId="77777777" w:rsidR="00E867EB" w:rsidRPr="00E867EB" w:rsidRDefault="00E867EB" w:rsidP="00E867EB">
      <w:pPr>
        <w:numPr>
          <w:ilvl w:val="0"/>
          <w:numId w:val="19"/>
        </w:numPr>
      </w:pPr>
      <w:r w:rsidRPr="00E867EB">
        <w:t>The cumulative computational resources used for its training exceed 10^25 floating point operations (</w:t>
      </w:r>
      <w:hyperlink r:id="rId104" w:tgtFrame="_blank" w:history="1">
        <w:r w:rsidRPr="00E867EB">
          <w:rPr>
            <w:rStyle w:val="Hyperlink"/>
          </w:rPr>
          <w:t>Article 51(2)</w:t>
        </w:r>
      </w:hyperlink>
      <w:r w:rsidRPr="00E867EB">
        <w:t>), or</w:t>
      </w:r>
    </w:p>
    <w:p w14:paraId="522CAC68" w14:textId="77777777" w:rsidR="00E867EB" w:rsidRPr="00E867EB" w:rsidRDefault="00E867EB" w:rsidP="00E867EB">
      <w:pPr>
        <w:numPr>
          <w:ilvl w:val="0"/>
          <w:numId w:val="19"/>
        </w:numPr>
      </w:pPr>
      <w:r w:rsidRPr="00E867EB">
        <w:t>The Commission designates it based on criteria in </w:t>
      </w:r>
      <w:hyperlink r:id="rId105" w:tgtFrame="_blank" w:history="1">
        <w:r w:rsidRPr="00E867EB">
          <w:rPr>
            <w:rStyle w:val="Hyperlink"/>
          </w:rPr>
          <w:t>Annex XIII</w:t>
        </w:r>
      </w:hyperlink>
      <w:r w:rsidRPr="00E867EB">
        <w:t> through a decision, or</w:t>
      </w:r>
    </w:p>
    <w:p w14:paraId="16DEFB5C" w14:textId="77777777" w:rsidR="00E867EB" w:rsidRPr="00E867EB" w:rsidRDefault="00E867EB" w:rsidP="00E867EB">
      <w:pPr>
        <w:numPr>
          <w:ilvl w:val="0"/>
          <w:numId w:val="19"/>
        </w:numPr>
      </w:pPr>
      <w:r w:rsidRPr="00E867EB">
        <w:t>The provider self-classifies</w:t>
      </w:r>
    </w:p>
    <w:p w14:paraId="035DA947" w14:textId="77777777" w:rsidR="00E867EB" w:rsidRPr="00E867EB" w:rsidRDefault="00E867EB" w:rsidP="00E867EB">
      <w:pPr>
        <w:rPr>
          <w:b/>
          <w:bCs/>
        </w:rPr>
      </w:pPr>
      <w:r w:rsidRPr="00E867EB">
        <w:rPr>
          <w:b/>
          <w:bCs/>
        </w:rPr>
        <w:t>5.2 Obligations for All GPAI Model Providers (Article 53)</w:t>
      </w:r>
    </w:p>
    <w:p w14:paraId="3B33CCC1" w14:textId="77777777" w:rsidR="00E867EB" w:rsidRPr="00E867EB" w:rsidRDefault="00E867EB" w:rsidP="00E867EB">
      <w:hyperlink r:id="rId106" w:tgtFrame="_blank" w:history="1">
        <w:r w:rsidRPr="00E867EB">
          <w:rPr>
            <w:rStyle w:val="Hyperlink"/>
          </w:rPr>
          <w:t>Article 53(1)</w:t>
        </w:r>
      </w:hyperlink>
      <w:r w:rsidRPr="00E867EB">
        <w:t> requires:</w:t>
      </w:r>
    </w:p>
    <w:p w14:paraId="4D42D849" w14:textId="77777777" w:rsidR="00E867EB" w:rsidRPr="00E867EB" w:rsidRDefault="00E867EB" w:rsidP="00E867EB">
      <w:pPr>
        <w:numPr>
          <w:ilvl w:val="0"/>
          <w:numId w:val="20"/>
        </w:numPr>
      </w:pPr>
      <w:r w:rsidRPr="00E867EB">
        <w:rPr>
          <w:b/>
          <w:bCs/>
        </w:rPr>
        <w:t>(a) Technical documentation</w:t>
      </w:r>
      <w:r w:rsidRPr="00E867EB">
        <w:t> per </w:t>
      </w:r>
      <w:hyperlink r:id="rId107" w:tgtFrame="_blank" w:history="1">
        <w:r w:rsidRPr="00E867EB">
          <w:rPr>
            <w:rStyle w:val="Hyperlink"/>
          </w:rPr>
          <w:t>Annex XI</w:t>
        </w:r>
      </w:hyperlink>
      <w:r w:rsidRPr="00E867EB">
        <w:t>. This is a separate specification from the Annex IV documentation for high-risk AI systems. Annex XI focuses on the model itself (training methodology, computational resources, training data characteristics) rather than a deployed system’s operational behavior.</w:t>
      </w:r>
    </w:p>
    <w:p w14:paraId="18705000" w14:textId="77777777" w:rsidR="00E867EB" w:rsidRPr="00E867EB" w:rsidRDefault="00E867EB" w:rsidP="00E867EB">
      <w:pPr>
        <w:numPr>
          <w:ilvl w:val="0"/>
          <w:numId w:val="20"/>
        </w:numPr>
      </w:pPr>
      <w:r w:rsidRPr="00E867EB">
        <w:rPr>
          <w:b/>
          <w:bCs/>
        </w:rPr>
        <w:t>(b) Information and documentation for downstream providers</w:t>
      </w:r>
      <w:r w:rsidRPr="00E867EB">
        <w:t> per </w:t>
      </w:r>
      <w:hyperlink r:id="rId108" w:tgtFrame="_blank" w:history="1">
        <w:r w:rsidRPr="00E867EB">
          <w:rPr>
            <w:rStyle w:val="Hyperlink"/>
          </w:rPr>
          <w:t>Annex XII</w:t>
        </w:r>
      </w:hyperlink>
      <w:r w:rsidRPr="00E867EB">
        <w:t>. This creates a documentation obligation flowing down the value chain. When another organization integrates your GPAI model into their AI system, you must provide them with sufficient information to understand the model’s capabilities, limitations, and comply with their own obligations.</w:t>
      </w:r>
    </w:p>
    <w:p w14:paraId="27B9BD8F" w14:textId="77777777" w:rsidR="00E867EB" w:rsidRPr="00E867EB" w:rsidRDefault="00E867EB" w:rsidP="00E867EB">
      <w:pPr>
        <w:numPr>
          <w:ilvl w:val="0"/>
          <w:numId w:val="20"/>
        </w:numPr>
      </w:pPr>
      <w:r w:rsidRPr="00E867EB">
        <w:rPr>
          <w:b/>
          <w:bCs/>
        </w:rPr>
        <w:t>(c) Copyright compliance policy</w:t>
      </w:r>
      <w:r w:rsidRPr="00E867EB">
        <w:t> including compliance with the text and data mining opt-out provisions of </w:t>
      </w:r>
      <w:hyperlink r:id="rId109" w:tgtFrame="_blank" w:history="1">
        <w:r w:rsidRPr="00E867EB">
          <w:rPr>
            <w:rStyle w:val="Hyperlink"/>
          </w:rPr>
          <w:t>Directive (EU) 2019/790 Article 4(3)</w:t>
        </w:r>
      </w:hyperlink>
      <w:r w:rsidRPr="00E867EB">
        <w:t>.</w:t>
      </w:r>
    </w:p>
    <w:p w14:paraId="1BA9DB36" w14:textId="77777777" w:rsidR="00E867EB" w:rsidRPr="00E867EB" w:rsidRDefault="00E867EB" w:rsidP="00E867EB">
      <w:pPr>
        <w:numPr>
          <w:ilvl w:val="0"/>
          <w:numId w:val="20"/>
        </w:numPr>
      </w:pPr>
      <w:r w:rsidRPr="00E867EB">
        <w:rPr>
          <w:b/>
          <w:bCs/>
        </w:rPr>
        <w:t>(d) Training data summary</w:t>
      </w:r>
      <w:r w:rsidRPr="00E867EB">
        <w:t> including a sufficiently detailed summary of the content used for training, in accordance with a template provided by the AI Office.</w:t>
      </w:r>
    </w:p>
    <w:p w14:paraId="5E4B6C4D" w14:textId="77777777" w:rsidR="00E867EB" w:rsidRPr="00E867EB" w:rsidRDefault="00E867EB" w:rsidP="00E867EB">
      <w:r w:rsidRPr="00E867EB">
        <w:rPr>
          <w:b/>
          <w:bCs/>
        </w:rPr>
        <w:t>The downstream information problem:</w:t>
      </w:r>
      <w:r w:rsidRPr="00E867EB">
        <w:t> </w:t>
      </w:r>
      <w:hyperlink r:id="rId110" w:tgtFrame="_blank" w:history="1">
        <w:r w:rsidRPr="00E867EB">
          <w:rPr>
            <w:rStyle w:val="Hyperlink"/>
          </w:rPr>
          <w:t>Article 25</w:t>
        </w:r>
      </w:hyperlink>
      <w:r w:rsidRPr="00E867EB">
        <w:t> creates obligations along the value chain. If a deployer uses an AI system built on your GPAI model and that system is classified as high-risk, the deployer needs information about the model to fulfill their own compliance obligations (risk management, data governance, technical documentation). If you haven’t provided sufficient downstream documentation per Annex XII, you’ve created a compliance gap that cascades through every downstream use.</w:t>
      </w:r>
    </w:p>
    <w:p w14:paraId="0E869CF8" w14:textId="77777777" w:rsidR="00E867EB" w:rsidRPr="00E867EB" w:rsidRDefault="00E867EB" w:rsidP="00E867EB">
      <w:pPr>
        <w:rPr>
          <w:b/>
          <w:bCs/>
        </w:rPr>
      </w:pPr>
      <w:r w:rsidRPr="00E867EB">
        <w:rPr>
          <w:b/>
          <w:bCs/>
        </w:rPr>
        <w:t>5.3 Additional Obligations for Systemic Risk Models (Article 55)</w:t>
      </w:r>
    </w:p>
    <w:p w14:paraId="5D408526" w14:textId="77777777" w:rsidR="00E867EB" w:rsidRPr="00E867EB" w:rsidRDefault="00E867EB" w:rsidP="00E867EB">
      <w:hyperlink r:id="rId111" w:tgtFrame="_blank" w:history="1">
        <w:r w:rsidRPr="00E867EB">
          <w:rPr>
            <w:rStyle w:val="Hyperlink"/>
          </w:rPr>
          <w:t>Article 55</w:t>
        </w:r>
      </w:hyperlink>
      <w:r w:rsidRPr="00E867EB">
        <w:t> adds requirements beyond </w:t>
      </w:r>
      <w:hyperlink r:id="rId112" w:tgtFrame="_blank" w:history="1">
        <w:r w:rsidRPr="00E867EB">
          <w:rPr>
            <w:rStyle w:val="Hyperlink"/>
          </w:rPr>
          <w:t>Article 53</w:t>
        </w:r>
      </w:hyperlink>
      <w:r w:rsidRPr="00E867EB">
        <w:t>:</w:t>
      </w:r>
    </w:p>
    <w:p w14:paraId="0F40DF58" w14:textId="77777777" w:rsidR="00E867EB" w:rsidRPr="00E867EB" w:rsidRDefault="00E867EB" w:rsidP="00E867EB">
      <w:pPr>
        <w:numPr>
          <w:ilvl w:val="0"/>
          <w:numId w:val="21"/>
        </w:numPr>
      </w:pPr>
      <w:r w:rsidRPr="00E867EB">
        <w:rPr>
          <w:b/>
          <w:bCs/>
        </w:rPr>
        <w:lastRenderedPageBreak/>
        <w:t>(a) Model evaluation</w:t>
      </w:r>
      <w:r w:rsidRPr="00E867EB">
        <w:t> </w:t>
      </w:r>
      <w:proofErr w:type="gramStart"/>
      <w:r w:rsidRPr="00E867EB">
        <w:t>including</w:t>
      </w:r>
      <w:proofErr w:type="gramEnd"/>
      <w:r w:rsidRPr="00E867EB">
        <w:t xml:space="preserve"> adversarial testing, in accordance with standardized protocols and tools reflecting the state of the art. This evaluation must assess and mitigate systemic risks, including their sources.</w:t>
      </w:r>
    </w:p>
    <w:p w14:paraId="46C4F2F5" w14:textId="77777777" w:rsidR="00E867EB" w:rsidRPr="00E867EB" w:rsidRDefault="00E867EB" w:rsidP="00E867EB">
      <w:pPr>
        <w:numPr>
          <w:ilvl w:val="0"/>
          <w:numId w:val="21"/>
        </w:numPr>
      </w:pPr>
      <w:r w:rsidRPr="00E867EB">
        <w:rPr>
          <w:b/>
          <w:bCs/>
        </w:rPr>
        <w:t>(b) Systemic risk assessment and mitigation</w:t>
      </w:r>
      <w:r w:rsidRPr="00E867EB">
        <w:t> documented and reported to the AI Office and, where appropriate, national competent authorities</w:t>
      </w:r>
    </w:p>
    <w:p w14:paraId="0CA97F7E" w14:textId="77777777" w:rsidR="00E867EB" w:rsidRPr="00E867EB" w:rsidRDefault="00E867EB" w:rsidP="00E867EB">
      <w:pPr>
        <w:numPr>
          <w:ilvl w:val="0"/>
          <w:numId w:val="21"/>
        </w:numPr>
      </w:pPr>
      <w:r w:rsidRPr="00E867EB">
        <w:rPr>
          <w:b/>
          <w:bCs/>
        </w:rPr>
        <w:t>(c) Serious incident tracking and reporting.</w:t>
      </w:r>
      <w:r w:rsidRPr="00E867EB">
        <w:t> Providers must document and report incidents with potential systemic impact to the AI Office without undue delay, including relevant information and possible corrective measures.</w:t>
      </w:r>
    </w:p>
    <w:p w14:paraId="5D8CBA1F" w14:textId="77777777" w:rsidR="00E867EB" w:rsidRPr="00E867EB" w:rsidRDefault="00E867EB" w:rsidP="00E867EB">
      <w:pPr>
        <w:numPr>
          <w:ilvl w:val="0"/>
          <w:numId w:val="21"/>
        </w:numPr>
      </w:pPr>
      <w:r w:rsidRPr="00E867EB">
        <w:rPr>
          <w:b/>
          <w:bCs/>
        </w:rPr>
        <w:t>(d) Adequate cybersecurity protection</w:t>
      </w:r>
      <w:r w:rsidRPr="00E867EB">
        <w:t> for the model and its physical infrastructure</w:t>
      </w:r>
    </w:p>
    <w:p w14:paraId="7ACD1DAF" w14:textId="77777777" w:rsidR="00E867EB" w:rsidRPr="00E867EB" w:rsidRDefault="00E867EB" w:rsidP="00E867EB">
      <w:r w:rsidRPr="00E867EB">
        <w:t>Providers of systemic risk models may rely on codes of practice under </w:t>
      </w:r>
      <w:hyperlink r:id="rId113" w:tgtFrame="_blank" w:history="1">
        <w:r w:rsidRPr="00E867EB">
          <w:rPr>
            <w:rStyle w:val="Hyperlink"/>
          </w:rPr>
          <w:t>Article 56</w:t>
        </w:r>
      </w:hyperlink>
      <w:r w:rsidRPr="00E867EB">
        <w:t> to demonstrate compliance with these obligations, until harmonized standards are adopted (</w:t>
      </w:r>
      <w:hyperlink r:id="rId114" w:tgtFrame="_blank" w:history="1">
        <w:r w:rsidRPr="00E867EB">
          <w:rPr>
            <w:rStyle w:val="Hyperlink"/>
          </w:rPr>
          <w:t>Article 55(2)</w:t>
        </w:r>
      </w:hyperlink>
      <w:r w:rsidRPr="00E867EB">
        <w:t>).</w:t>
      </w:r>
    </w:p>
    <w:p w14:paraId="29F8CE64" w14:textId="77777777" w:rsidR="00E867EB" w:rsidRPr="00E867EB" w:rsidRDefault="00E867EB" w:rsidP="00E867EB">
      <w:pPr>
        <w:rPr>
          <w:b/>
          <w:bCs/>
        </w:rPr>
      </w:pPr>
      <w:r w:rsidRPr="00E867EB">
        <w:rPr>
          <w:b/>
          <w:bCs/>
        </w:rPr>
        <w:t>5.4 Enforcement for GPAI Providers</w:t>
      </w:r>
    </w:p>
    <w:p w14:paraId="4912AA12" w14:textId="77777777" w:rsidR="00E867EB" w:rsidRPr="00E867EB" w:rsidRDefault="00E867EB" w:rsidP="00E867EB">
      <w:r w:rsidRPr="00E867EB">
        <w:t>Unlike high-risk AI system enforcement (handled by national market surveillance authorities), GPAI compliance is overseen by the AI Office within the European Commission (</w:t>
      </w:r>
      <w:hyperlink r:id="rId115" w:tgtFrame="_blank" w:history="1">
        <w:r w:rsidRPr="00E867EB">
          <w:rPr>
            <w:rStyle w:val="Hyperlink"/>
          </w:rPr>
          <w:t>Article 88</w:t>
        </w:r>
      </w:hyperlink>
      <w:r w:rsidRPr="00E867EB">
        <w:t>). The AI Office can request documentation, conduct evaluations, and impose fines under </w:t>
      </w:r>
      <w:hyperlink r:id="rId116" w:tgtFrame="_blank" w:history="1">
        <w:r w:rsidRPr="00E867EB">
          <w:rPr>
            <w:rStyle w:val="Hyperlink"/>
          </w:rPr>
          <w:t>Article 101</w:t>
        </w:r>
      </w:hyperlink>
      <w:r w:rsidRPr="00E867EB">
        <w:t> up to EUR 15,000,000 or 3% of worldwide annual turnover for GPAI-specific violations.</w:t>
      </w:r>
    </w:p>
    <w:p w14:paraId="6C1342E9" w14:textId="77777777" w:rsidR="00E867EB" w:rsidRPr="00E867EB" w:rsidRDefault="00E867EB" w:rsidP="00E867EB">
      <w:r w:rsidRPr="00E867EB">
        <w:pict w14:anchorId="4F4C22E0">
          <v:rect id="_x0000_i1103" style="width:0;height:.75pt" o:hralign="center" o:hrstd="t" o:hr="t" fillcolor="#a0a0a0" stroked="f"/>
        </w:pict>
      </w:r>
    </w:p>
    <w:p w14:paraId="39FAE4B3" w14:textId="77777777" w:rsidR="00E867EB" w:rsidRPr="00E867EB" w:rsidRDefault="00E867EB" w:rsidP="00E867EB">
      <w:pPr>
        <w:rPr>
          <w:b/>
          <w:bCs/>
        </w:rPr>
      </w:pPr>
      <w:r w:rsidRPr="00E867EB">
        <w:rPr>
          <w:b/>
          <w:bCs/>
        </w:rPr>
        <w:t>6. Enforcement Mechanics and Penalty Calculations</w:t>
      </w:r>
    </w:p>
    <w:p w14:paraId="69246AD6" w14:textId="77777777" w:rsidR="00E867EB" w:rsidRPr="00E867EB" w:rsidRDefault="00E867EB" w:rsidP="00E867EB">
      <w:r w:rsidRPr="00E867EB">
        <w:t xml:space="preserve">The intermediate tab lists headline fine amounts. This section covers how enforcement </w:t>
      </w:r>
      <w:proofErr w:type="gramStart"/>
      <w:r w:rsidRPr="00E867EB">
        <w:t>actually works</w:t>
      </w:r>
      <w:proofErr w:type="gramEnd"/>
      <w:r w:rsidRPr="00E867EB">
        <w:t>, how fines are calculated, and what triggers market surveillance authority action.</w:t>
      </w:r>
    </w:p>
    <w:p w14:paraId="35237C58" w14:textId="77777777" w:rsidR="00E867EB" w:rsidRPr="00E867EB" w:rsidRDefault="00E867EB" w:rsidP="00E867EB">
      <w:pPr>
        <w:rPr>
          <w:b/>
          <w:bCs/>
        </w:rPr>
      </w:pPr>
      <w:r w:rsidRPr="00E867EB">
        <w:rPr>
          <w:b/>
          <w:bCs/>
        </w:rPr>
        <w:t>6.1 Market Surveillance Authority Powers (Articles 74-78)</w:t>
      </w:r>
    </w:p>
    <w:p w14:paraId="2D660553" w14:textId="77777777" w:rsidR="00E867EB" w:rsidRPr="00E867EB" w:rsidRDefault="00E867EB" w:rsidP="00E867EB">
      <w:r w:rsidRPr="00E867EB">
        <w:t>National market surveillance authorities designated under </w:t>
      </w:r>
      <w:hyperlink r:id="rId117" w:tgtFrame="_blank" w:history="1">
        <w:r w:rsidRPr="00E867EB">
          <w:rPr>
            <w:rStyle w:val="Hyperlink"/>
          </w:rPr>
          <w:t>Article 70</w:t>
        </w:r>
      </w:hyperlink>
      <w:r w:rsidRPr="00E867EB">
        <w:t> have broad investigatory powers under </w:t>
      </w:r>
      <w:hyperlink r:id="rId118" w:tgtFrame="_blank" w:history="1">
        <w:r w:rsidRPr="00E867EB">
          <w:rPr>
            <w:rStyle w:val="Hyperlink"/>
          </w:rPr>
          <w:t>Article 74</w:t>
        </w:r>
      </w:hyperlink>
      <w:r w:rsidRPr="00E867EB">
        <w:t>:</w:t>
      </w:r>
    </w:p>
    <w:p w14:paraId="3DE71453" w14:textId="77777777" w:rsidR="00E867EB" w:rsidRPr="00E867EB" w:rsidRDefault="00E867EB" w:rsidP="00E867EB">
      <w:pPr>
        <w:numPr>
          <w:ilvl w:val="0"/>
          <w:numId w:val="22"/>
        </w:numPr>
      </w:pPr>
      <w:r w:rsidRPr="00E867EB">
        <w:t>Access to the AI system (including through APIs), source code, and technical documentation</w:t>
      </w:r>
    </w:p>
    <w:p w14:paraId="65037F74" w14:textId="77777777" w:rsidR="00E867EB" w:rsidRPr="00E867EB" w:rsidRDefault="00E867EB" w:rsidP="00E867EB">
      <w:pPr>
        <w:numPr>
          <w:ilvl w:val="0"/>
          <w:numId w:val="22"/>
        </w:numPr>
      </w:pPr>
      <w:r w:rsidRPr="00E867EB">
        <w:t>Access to the training, validation, and testing data sets</w:t>
      </w:r>
    </w:p>
    <w:p w14:paraId="523D7409" w14:textId="77777777" w:rsidR="00E867EB" w:rsidRPr="00E867EB" w:rsidRDefault="00E867EB" w:rsidP="00E867EB">
      <w:pPr>
        <w:numPr>
          <w:ilvl w:val="0"/>
          <w:numId w:val="22"/>
        </w:numPr>
      </w:pPr>
      <w:r w:rsidRPr="00E867EB">
        <w:t>Access to the AI system’s automatic logging capabilities (</w:t>
      </w:r>
      <w:hyperlink r:id="rId119" w:tgtFrame="_blank" w:history="1">
        <w:r w:rsidRPr="00E867EB">
          <w:rPr>
            <w:rStyle w:val="Hyperlink"/>
          </w:rPr>
          <w:t>Article 12</w:t>
        </w:r>
      </w:hyperlink>
      <w:r w:rsidRPr="00E867EB">
        <w:t>)</w:t>
      </w:r>
    </w:p>
    <w:p w14:paraId="1A995084" w14:textId="77777777" w:rsidR="00E867EB" w:rsidRPr="00E867EB" w:rsidRDefault="00E867EB" w:rsidP="00E867EB">
      <w:pPr>
        <w:numPr>
          <w:ilvl w:val="0"/>
          <w:numId w:val="22"/>
        </w:numPr>
      </w:pPr>
      <w:r w:rsidRPr="00E867EB">
        <w:lastRenderedPageBreak/>
        <w:t>When necessary and upon reasoned request, access to the source code of the AI system</w:t>
      </w:r>
    </w:p>
    <w:p w14:paraId="06B2AA3A" w14:textId="77777777" w:rsidR="00E867EB" w:rsidRPr="00E867EB" w:rsidRDefault="00E867EB" w:rsidP="00E867EB">
      <w:hyperlink r:id="rId120" w:tgtFrame="_blank" w:history="1">
        <w:r w:rsidRPr="00E867EB">
          <w:rPr>
            <w:rStyle w:val="Hyperlink"/>
          </w:rPr>
          <w:t>Article 79</w:t>
        </w:r>
      </w:hyperlink>
      <w:r w:rsidRPr="00E867EB">
        <w:t> establishes the procedure for dealing with AI systems that present a risk at the national level. If a market surveillance authority determines a system presents a risk to health, safety, or fundamental rights, it can require the provider to take corrective action within a prescribed period. If corrective actions aren’t taken, the authority can restrict, prohibit, or require withdrawal of the system.</w:t>
      </w:r>
    </w:p>
    <w:p w14:paraId="0F39377C" w14:textId="77777777" w:rsidR="00E867EB" w:rsidRPr="00E867EB" w:rsidRDefault="00E867EB" w:rsidP="00E867EB">
      <w:pPr>
        <w:rPr>
          <w:b/>
          <w:bCs/>
        </w:rPr>
      </w:pPr>
      <w:r w:rsidRPr="00E867EB">
        <w:rPr>
          <w:b/>
          <w:bCs/>
        </w:rPr>
        <w:t>6.2 How Fines Are Calculated (Article 99)</w:t>
      </w:r>
    </w:p>
    <w:p w14:paraId="21123D4E" w14:textId="77777777" w:rsidR="00E867EB" w:rsidRPr="00E867EB" w:rsidRDefault="00E867EB" w:rsidP="00E867EB">
      <w:hyperlink r:id="rId121" w:tgtFrame="_blank" w:history="1">
        <w:r w:rsidRPr="00E867EB">
          <w:rPr>
            <w:rStyle w:val="Hyperlink"/>
          </w:rPr>
          <w:t>Article 99(7)</w:t>
        </w:r>
      </w:hyperlink>
      <w:r w:rsidRPr="00E867EB">
        <w:t> specifies the factors considered when imposing fines:</w:t>
      </w:r>
    </w:p>
    <w:p w14:paraId="53C6A816" w14:textId="77777777" w:rsidR="00E867EB" w:rsidRPr="00E867EB" w:rsidRDefault="00E867EB" w:rsidP="00E867EB">
      <w:pPr>
        <w:numPr>
          <w:ilvl w:val="0"/>
          <w:numId w:val="23"/>
        </w:numPr>
      </w:pPr>
      <w:r w:rsidRPr="00E867EB">
        <w:t>Nature, gravity, and duration of the infringement</w:t>
      </w:r>
    </w:p>
    <w:p w14:paraId="072B2A2A" w14:textId="77777777" w:rsidR="00E867EB" w:rsidRPr="00E867EB" w:rsidRDefault="00E867EB" w:rsidP="00E867EB">
      <w:pPr>
        <w:numPr>
          <w:ilvl w:val="0"/>
          <w:numId w:val="23"/>
        </w:numPr>
      </w:pPr>
      <w:r w:rsidRPr="00E867EB">
        <w:t>Whether the infringer is an SME or startup (cap is the lower of the percentage or the fixed amount)</w:t>
      </w:r>
    </w:p>
    <w:p w14:paraId="1DFD3C64" w14:textId="77777777" w:rsidR="00E867EB" w:rsidRPr="00E867EB" w:rsidRDefault="00E867EB" w:rsidP="00E867EB">
      <w:pPr>
        <w:numPr>
          <w:ilvl w:val="0"/>
          <w:numId w:val="23"/>
        </w:numPr>
      </w:pPr>
      <w:r w:rsidRPr="00E867EB">
        <w:t>Whether the infringement was intentional or negligent</w:t>
      </w:r>
    </w:p>
    <w:p w14:paraId="17028579" w14:textId="77777777" w:rsidR="00E867EB" w:rsidRPr="00E867EB" w:rsidRDefault="00E867EB" w:rsidP="00E867EB">
      <w:pPr>
        <w:numPr>
          <w:ilvl w:val="0"/>
          <w:numId w:val="23"/>
        </w:numPr>
      </w:pPr>
      <w:r w:rsidRPr="00E867EB">
        <w:t>Actions taken to mitigate harm suffered by affected persons</w:t>
      </w:r>
    </w:p>
    <w:p w14:paraId="56C72ED3" w14:textId="77777777" w:rsidR="00E867EB" w:rsidRPr="00E867EB" w:rsidRDefault="00E867EB" w:rsidP="00E867EB">
      <w:pPr>
        <w:numPr>
          <w:ilvl w:val="0"/>
          <w:numId w:val="23"/>
        </w:numPr>
      </w:pPr>
      <w:r w:rsidRPr="00E867EB">
        <w:t>Degree of cooperation with authorities</w:t>
      </w:r>
    </w:p>
    <w:p w14:paraId="325C3383" w14:textId="77777777" w:rsidR="00E867EB" w:rsidRPr="00E867EB" w:rsidRDefault="00E867EB" w:rsidP="00E867EB">
      <w:pPr>
        <w:numPr>
          <w:ilvl w:val="0"/>
          <w:numId w:val="23"/>
        </w:numPr>
      </w:pPr>
      <w:r w:rsidRPr="00E867EB">
        <w:t>Previous infringements</w:t>
      </w:r>
    </w:p>
    <w:p w14:paraId="163100C9" w14:textId="77777777" w:rsidR="00E867EB" w:rsidRPr="00E867EB" w:rsidRDefault="00E867EB" w:rsidP="00E867EB">
      <w:pPr>
        <w:numPr>
          <w:ilvl w:val="0"/>
          <w:numId w:val="23"/>
        </w:numPr>
      </w:pPr>
      <w:proofErr w:type="gramStart"/>
      <w:r w:rsidRPr="00E867EB">
        <w:t>Manner in which</w:t>
      </w:r>
      <w:proofErr w:type="gramEnd"/>
      <w:r w:rsidRPr="00E867EB">
        <w:t xml:space="preserve"> the infringement became known to the authority (particularly whether the operator self-reported)</w:t>
      </w:r>
    </w:p>
    <w:p w14:paraId="70F7CA7A" w14:textId="77777777" w:rsidR="00E867EB" w:rsidRPr="00E867EB" w:rsidRDefault="00E867EB" w:rsidP="00E867EB">
      <w:r w:rsidRPr="00E867EB">
        <w:rPr>
          <w:b/>
          <w:bCs/>
        </w:rPr>
        <w:t>Penalty tiers:</w:t>
      </w:r>
    </w:p>
    <w:tbl>
      <w:tblPr>
        <w:tblW w:w="16800" w:type="dxa"/>
        <w:tblBorders>
          <w:top w:val="single" w:sz="6" w:space="0" w:color="EEEEEE"/>
          <w:left w:val="single" w:sz="6" w:space="0" w:color="EEEEEE"/>
          <w:bottom w:val="single" w:sz="6" w:space="0" w:color="EEEEEE"/>
          <w:right w:val="single" w:sz="6" w:space="0" w:color="EEEEEE"/>
        </w:tblBorders>
        <w:shd w:val="clear" w:color="auto" w:fill="FFFFFF"/>
        <w:tblCellMar>
          <w:top w:w="15" w:type="dxa"/>
          <w:left w:w="15" w:type="dxa"/>
          <w:bottom w:w="15" w:type="dxa"/>
          <w:right w:w="15" w:type="dxa"/>
        </w:tblCellMar>
        <w:tblLook w:val="04A0" w:firstRow="1" w:lastRow="0" w:firstColumn="1" w:lastColumn="0" w:noHBand="0" w:noVBand="1"/>
      </w:tblPr>
      <w:tblGrid>
        <w:gridCol w:w="8787"/>
        <w:gridCol w:w="6349"/>
        <w:gridCol w:w="1664"/>
      </w:tblGrid>
      <w:tr w:rsidR="00E867EB" w:rsidRPr="00E867EB" w14:paraId="30C786BD" w14:textId="77777777">
        <w:trPr>
          <w:tblHeader/>
        </w:trPr>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D1F91A5" w14:textId="77777777" w:rsidR="00E867EB" w:rsidRPr="00E867EB" w:rsidRDefault="00E867EB" w:rsidP="00E867EB">
            <w:pPr>
              <w:rPr>
                <w:b/>
                <w:bCs/>
              </w:rPr>
            </w:pPr>
            <w:r w:rsidRPr="00E867EB">
              <w:rPr>
                <w:b/>
                <w:bCs/>
              </w:rPr>
              <w:t>Violation Category</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F23535C" w14:textId="77777777" w:rsidR="00E867EB" w:rsidRPr="00E867EB" w:rsidRDefault="00E867EB" w:rsidP="00E867EB">
            <w:pPr>
              <w:rPr>
                <w:b/>
                <w:bCs/>
              </w:rPr>
            </w:pPr>
            <w:r w:rsidRPr="00E867EB">
              <w:rPr>
                <w:b/>
                <w:bCs/>
              </w:rPr>
              <w:t>Maximum Fine</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3941EA55" w14:textId="77777777" w:rsidR="00E867EB" w:rsidRPr="00E867EB" w:rsidRDefault="00E867EB" w:rsidP="00E867EB">
            <w:pPr>
              <w:rPr>
                <w:b/>
                <w:bCs/>
              </w:rPr>
            </w:pPr>
            <w:r w:rsidRPr="00E867EB">
              <w:rPr>
                <w:b/>
                <w:bCs/>
              </w:rPr>
              <w:t>Article</w:t>
            </w:r>
          </w:p>
        </w:tc>
      </w:tr>
      <w:tr w:rsidR="00E867EB" w:rsidRPr="00E867EB" w14:paraId="3DF2FC3B"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188BB8D" w14:textId="77777777" w:rsidR="00E867EB" w:rsidRPr="00E867EB" w:rsidRDefault="00E867EB" w:rsidP="00E867EB">
            <w:r w:rsidRPr="00E867EB">
              <w:t>Prohibited AI practices (</w:t>
            </w:r>
            <w:hyperlink r:id="rId122" w:tgtFrame="_blank" w:history="1">
              <w:r w:rsidRPr="00E867EB">
                <w:rPr>
                  <w:rStyle w:val="Hyperlink"/>
                </w:rPr>
                <w:t>Article 5</w:t>
              </w:r>
            </w:hyperlink>
            <w:r w:rsidRPr="00E867EB">
              <w:t>)</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25900796" w14:textId="77777777" w:rsidR="00E867EB" w:rsidRPr="00E867EB" w:rsidRDefault="00E867EB" w:rsidP="00E867EB">
            <w:r w:rsidRPr="00E867EB">
              <w:t>EUR 35,000,000 or 7% of worldwide annual turnover</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217FC69B" w14:textId="77777777" w:rsidR="00E867EB" w:rsidRPr="00E867EB" w:rsidRDefault="00E867EB" w:rsidP="00E867EB">
            <w:hyperlink r:id="rId123" w:tgtFrame="_blank" w:history="1">
              <w:r w:rsidRPr="00E867EB">
                <w:rPr>
                  <w:rStyle w:val="Hyperlink"/>
                </w:rPr>
                <w:t>Article 99(3)</w:t>
              </w:r>
            </w:hyperlink>
          </w:p>
        </w:tc>
      </w:tr>
      <w:tr w:rsidR="00E867EB" w:rsidRPr="00E867EB" w14:paraId="55B3E392"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2DC327B2" w14:textId="77777777" w:rsidR="00E867EB" w:rsidRPr="00E867EB" w:rsidRDefault="00E867EB" w:rsidP="00E867EB">
            <w:r w:rsidRPr="00E867EB">
              <w:t>Other AI Act obligations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32D69D59" w14:textId="77777777" w:rsidR="00E867EB" w:rsidRPr="00E867EB" w:rsidRDefault="00E867EB" w:rsidP="00E867EB">
            <w:r w:rsidRPr="00E867EB">
              <w:t>EUR 15,000,000 or 3% of worldwide annual turnover</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E5F3652" w14:textId="77777777" w:rsidR="00E867EB" w:rsidRPr="00E867EB" w:rsidRDefault="00E867EB" w:rsidP="00E867EB">
            <w:hyperlink r:id="rId124" w:tgtFrame="_blank" w:history="1">
              <w:r w:rsidRPr="00E867EB">
                <w:rPr>
                  <w:rStyle w:val="Hyperlink"/>
                </w:rPr>
                <w:t>Article 99(4)</w:t>
              </w:r>
            </w:hyperlink>
          </w:p>
        </w:tc>
      </w:tr>
      <w:tr w:rsidR="00E867EB" w:rsidRPr="00E867EB" w14:paraId="42400409"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12E3493" w14:textId="77777777" w:rsidR="00E867EB" w:rsidRPr="00E867EB" w:rsidRDefault="00E867EB" w:rsidP="00E867EB">
            <w:r w:rsidRPr="00E867EB">
              <w:t>Supplying incorrect, incomplete, or misleading information to authorities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14A3D1C2" w14:textId="77777777" w:rsidR="00E867EB" w:rsidRPr="00E867EB" w:rsidRDefault="00E867EB" w:rsidP="00E867EB">
            <w:r w:rsidRPr="00E867EB">
              <w:t>EUR 7,500,000 or 1% of worldwide annual turnover</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BB2B7BF" w14:textId="77777777" w:rsidR="00E867EB" w:rsidRPr="00E867EB" w:rsidRDefault="00E867EB" w:rsidP="00E867EB">
            <w:hyperlink r:id="rId125" w:tgtFrame="_blank" w:history="1">
              <w:r w:rsidRPr="00E867EB">
                <w:rPr>
                  <w:rStyle w:val="Hyperlink"/>
                </w:rPr>
                <w:t>Article 99(5)</w:t>
              </w:r>
            </w:hyperlink>
          </w:p>
        </w:tc>
      </w:tr>
      <w:tr w:rsidR="00E867EB" w:rsidRPr="00E867EB" w14:paraId="03382B51"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2CE7AB9B" w14:textId="77777777" w:rsidR="00E867EB" w:rsidRPr="00E867EB" w:rsidRDefault="00E867EB" w:rsidP="00E867EB">
            <w:r w:rsidRPr="00E867EB">
              <w:t>GPAI model violations (by AI Office)</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4EAF2715" w14:textId="77777777" w:rsidR="00E867EB" w:rsidRPr="00E867EB" w:rsidRDefault="00E867EB" w:rsidP="00E867EB">
            <w:r w:rsidRPr="00E867EB">
              <w:t>EUR 15,000,000 or 3% of worldwide annual turnover</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307B3F4D" w14:textId="77777777" w:rsidR="00E867EB" w:rsidRPr="00E867EB" w:rsidRDefault="00E867EB" w:rsidP="00E867EB">
            <w:hyperlink r:id="rId126" w:tgtFrame="_blank" w:history="1">
              <w:r w:rsidRPr="00E867EB">
                <w:rPr>
                  <w:rStyle w:val="Hyperlink"/>
                </w:rPr>
                <w:t>Article 101</w:t>
              </w:r>
            </w:hyperlink>
          </w:p>
        </w:tc>
      </w:tr>
    </w:tbl>
    <w:p w14:paraId="1CE27AB3" w14:textId="77777777" w:rsidR="00E867EB" w:rsidRPr="00E867EB" w:rsidRDefault="00E867EB" w:rsidP="00E867EB">
      <w:r w:rsidRPr="00E867EB">
        <w:t>For SMEs and startups, the applicable cap for each penalty tier is whichever is lower: the fixed amount or the percentage of turnover.</w:t>
      </w:r>
    </w:p>
    <w:p w14:paraId="3789E851" w14:textId="77777777" w:rsidR="00E867EB" w:rsidRPr="00E867EB" w:rsidRDefault="00E867EB" w:rsidP="00E867EB">
      <w:pPr>
        <w:rPr>
          <w:b/>
          <w:bCs/>
        </w:rPr>
      </w:pPr>
      <w:r w:rsidRPr="00E867EB">
        <w:rPr>
          <w:b/>
          <w:bCs/>
        </w:rPr>
        <w:lastRenderedPageBreak/>
        <w:t>6.3 Individual Rights Under the Act</w:t>
      </w:r>
    </w:p>
    <w:p w14:paraId="40A23A40" w14:textId="77777777" w:rsidR="00E867EB" w:rsidRPr="00E867EB" w:rsidRDefault="00E867EB" w:rsidP="00E867EB">
      <w:r w:rsidRPr="00E867EB">
        <w:t>The Act creates specific rights for individuals affected by AI systems:</w:t>
      </w:r>
    </w:p>
    <w:p w14:paraId="2AA18663" w14:textId="77777777" w:rsidR="00E867EB" w:rsidRPr="00E867EB" w:rsidRDefault="00E867EB" w:rsidP="00E867EB">
      <w:pPr>
        <w:numPr>
          <w:ilvl w:val="0"/>
          <w:numId w:val="24"/>
        </w:numPr>
      </w:pPr>
      <w:r w:rsidRPr="00E867EB">
        <w:rPr>
          <w:b/>
          <w:bCs/>
        </w:rPr>
        <w:t>Right to explanation</w:t>
      </w:r>
      <w:r w:rsidRPr="00E867EB">
        <w:t> (</w:t>
      </w:r>
      <w:hyperlink r:id="rId127" w:tgtFrame="_blank" w:history="1">
        <w:r w:rsidRPr="00E867EB">
          <w:rPr>
            <w:rStyle w:val="Hyperlink"/>
          </w:rPr>
          <w:t>Article 86</w:t>
        </w:r>
      </w:hyperlink>
      <w:r w:rsidRPr="00E867EB">
        <w:t>): Any affected person subject to a decision taken by the deployer on the basis of output from a high-risk AI system has the right to obtain from the deployer clear and meaningful explanations of the role of the AI system in the decision-making procedure and the main elements of the decision taken.</w:t>
      </w:r>
    </w:p>
    <w:p w14:paraId="11AD5557" w14:textId="77777777" w:rsidR="00E867EB" w:rsidRPr="00E867EB" w:rsidRDefault="00E867EB" w:rsidP="00E867EB">
      <w:pPr>
        <w:numPr>
          <w:ilvl w:val="0"/>
          <w:numId w:val="24"/>
        </w:numPr>
      </w:pPr>
      <w:r w:rsidRPr="00E867EB">
        <w:rPr>
          <w:b/>
          <w:bCs/>
        </w:rPr>
        <w:t>Right to lodge a complaint</w:t>
      </w:r>
      <w:r w:rsidRPr="00E867EB">
        <w:t> (</w:t>
      </w:r>
      <w:hyperlink r:id="rId128" w:tgtFrame="_blank" w:history="1">
        <w:r w:rsidRPr="00E867EB">
          <w:rPr>
            <w:rStyle w:val="Hyperlink"/>
          </w:rPr>
          <w:t>Article 85</w:t>
        </w:r>
      </w:hyperlink>
      <w:r w:rsidRPr="00E867EB">
        <w:t>): Any natural or legal person who considers that there has been an infringement of the AI Act can lodge a complaint with the relevant market surveillance authority.</w:t>
      </w:r>
    </w:p>
    <w:p w14:paraId="41AFA81F" w14:textId="77777777" w:rsidR="00E867EB" w:rsidRPr="00E867EB" w:rsidRDefault="00E867EB" w:rsidP="00E867EB">
      <w:r w:rsidRPr="00E867EB">
        <w:t>These rights create enforcement pressure beyond regulatory action. Organizations deploying high-risk AI systems should build explanation capabilities and complaint handling procedures into their operational workflows.</w:t>
      </w:r>
    </w:p>
    <w:p w14:paraId="0AD18BFA" w14:textId="77777777" w:rsidR="00E867EB" w:rsidRPr="00E867EB" w:rsidRDefault="00E867EB" w:rsidP="00E867EB">
      <w:r w:rsidRPr="00E867EB">
        <w:pict w14:anchorId="36E2C883">
          <v:rect id="_x0000_i1104" style="width:0;height:.75pt" o:hralign="center" o:hrstd="t" o:hr="t" fillcolor="#a0a0a0" stroked="f"/>
        </w:pict>
      </w:r>
    </w:p>
    <w:p w14:paraId="23F399B7" w14:textId="77777777" w:rsidR="00E867EB" w:rsidRPr="00E867EB" w:rsidRDefault="00E867EB" w:rsidP="00E867EB">
      <w:pPr>
        <w:rPr>
          <w:b/>
          <w:bCs/>
        </w:rPr>
      </w:pPr>
      <w:r w:rsidRPr="00E867EB">
        <w:rPr>
          <w:b/>
          <w:bCs/>
        </w:rPr>
        <w:t>7. Real-Time Biometric Identification: The Exception Architecture</w:t>
      </w:r>
    </w:p>
    <w:p w14:paraId="535CB52E" w14:textId="77777777" w:rsidR="00E867EB" w:rsidRPr="00E867EB" w:rsidRDefault="00E867EB" w:rsidP="00E867EB">
      <w:hyperlink r:id="rId129" w:tgtFrame="_blank" w:history="1">
        <w:r w:rsidRPr="00E867EB">
          <w:rPr>
            <w:rStyle w:val="Hyperlink"/>
          </w:rPr>
          <w:t>Article 5(1)(h)</w:t>
        </w:r>
      </w:hyperlink>
      <w:r w:rsidRPr="00E867EB">
        <w:t> prohibits real-time remote biometric identification (RBI) systems in publicly accessible spaces for law enforcement. But the prohibition has exceptions. The exceptions have conditions. The conditions have procedural safeguards. This section maps the entire structure.</w:t>
      </w:r>
    </w:p>
    <w:p w14:paraId="269F8C4A" w14:textId="77777777" w:rsidR="00E867EB" w:rsidRPr="00E867EB" w:rsidRDefault="00E867EB" w:rsidP="00E867EB">
      <w:pPr>
        <w:rPr>
          <w:b/>
          <w:bCs/>
        </w:rPr>
      </w:pPr>
      <w:r w:rsidRPr="00E867EB">
        <w:rPr>
          <w:b/>
          <w:bCs/>
        </w:rPr>
        <w:t>7.1 The Three Exception Categories (Article 5(2))</w:t>
      </w:r>
    </w:p>
    <w:p w14:paraId="51D5BFE9" w14:textId="77777777" w:rsidR="00E867EB" w:rsidRPr="00E867EB" w:rsidRDefault="00E867EB" w:rsidP="00E867EB">
      <w:r w:rsidRPr="00E867EB">
        <w:t>Real-time RBI is permitted only for:</w:t>
      </w:r>
    </w:p>
    <w:p w14:paraId="10301CFF" w14:textId="77777777" w:rsidR="00E867EB" w:rsidRPr="00E867EB" w:rsidRDefault="00E867EB" w:rsidP="00E867EB">
      <w:pPr>
        <w:numPr>
          <w:ilvl w:val="0"/>
          <w:numId w:val="25"/>
        </w:numPr>
      </w:pPr>
      <w:r w:rsidRPr="00E867EB">
        <w:rPr>
          <w:b/>
          <w:bCs/>
        </w:rPr>
        <w:t>Targeted search for specific victims</w:t>
      </w:r>
      <w:r w:rsidRPr="00E867EB">
        <w:t> of abduction, trafficking, or sexual exploitation, and search for missing persons (</w:t>
      </w:r>
      <w:hyperlink r:id="rId130" w:tgtFrame="_blank" w:history="1">
        <w:r w:rsidRPr="00E867EB">
          <w:rPr>
            <w:rStyle w:val="Hyperlink"/>
          </w:rPr>
          <w:t>Article 5(2)(a)</w:t>
        </w:r>
      </w:hyperlink>
      <w:r w:rsidRPr="00E867EB">
        <w:t>)</w:t>
      </w:r>
    </w:p>
    <w:p w14:paraId="20D523D4" w14:textId="77777777" w:rsidR="00E867EB" w:rsidRPr="00E867EB" w:rsidRDefault="00E867EB" w:rsidP="00E867EB">
      <w:pPr>
        <w:numPr>
          <w:ilvl w:val="0"/>
          <w:numId w:val="25"/>
        </w:numPr>
      </w:pPr>
      <w:r w:rsidRPr="00E867EB">
        <w:rPr>
          <w:b/>
          <w:bCs/>
        </w:rPr>
        <w:t>Prevention of specific, substantial, and imminent threat</w:t>
      </w:r>
      <w:r w:rsidRPr="00E867EB">
        <w:t> to life or physical safety of natural persons, or genuine and present or foreseeable threat of a terrorist attack (</w:t>
      </w:r>
      <w:hyperlink r:id="rId131" w:tgtFrame="_blank" w:history="1">
        <w:r w:rsidRPr="00E867EB">
          <w:rPr>
            <w:rStyle w:val="Hyperlink"/>
          </w:rPr>
          <w:t>Article 5(2)(b)</w:t>
        </w:r>
      </w:hyperlink>
      <w:r w:rsidRPr="00E867EB">
        <w:t>)</w:t>
      </w:r>
    </w:p>
    <w:p w14:paraId="2BCC308B" w14:textId="77777777" w:rsidR="00E867EB" w:rsidRPr="00E867EB" w:rsidRDefault="00E867EB" w:rsidP="00E867EB">
      <w:pPr>
        <w:numPr>
          <w:ilvl w:val="0"/>
          <w:numId w:val="25"/>
        </w:numPr>
      </w:pPr>
      <w:r w:rsidRPr="00E867EB">
        <w:rPr>
          <w:b/>
          <w:bCs/>
        </w:rPr>
        <w:t>Localization or identification of suspects</w:t>
      </w:r>
      <w:r w:rsidRPr="00E867EB">
        <w:t> of criminal offenses listed in </w:t>
      </w:r>
      <w:hyperlink r:id="rId132" w:tgtFrame="_blank" w:history="1">
        <w:r w:rsidRPr="00E867EB">
          <w:rPr>
            <w:rStyle w:val="Hyperlink"/>
          </w:rPr>
          <w:t>Annex II</w:t>
        </w:r>
      </w:hyperlink>
      <w:r w:rsidRPr="00E867EB">
        <w:t> that are punishable by a custodial sentence or detention order of at least four years in the Member State concerned (</w:t>
      </w:r>
      <w:hyperlink r:id="rId133" w:tgtFrame="_blank" w:history="1">
        <w:r w:rsidRPr="00E867EB">
          <w:rPr>
            <w:rStyle w:val="Hyperlink"/>
          </w:rPr>
          <w:t>Article 5(2)(c)</w:t>
        </w:r>
      </w:hyperlink>
      <w:r w:rsidRPr="00E867EB">
        <w:t>)</w:t>
      </w:r>
    </w:p>
    <w:p w14:paraId="536F04A2" w14:textId="77777777" w:rsidR="00E867EB" w:rsidRPr="00E867EB" w:rsidRDefault="00E867EB" w:rsidP="00E867EB">
      <w:pPr>
        <w:rPr>
          <w:b/>
          <w:bCs/>
        </w:rPr>
      </w:pPr>
      <w:r w:rsidRPr="00E867EB">
        <w:rPr>
          <w:b/>
          <w:bCs/>
        </w:rPr>
        <w:t>7.2 Procedural Safeguards</w:t>
      </w:r>
    </w:p>
    <w:p w14:paraId="6511A745" w14:textId="77777777" w:rsidR="00E867EB" w:rsidRPr="00E867EB" w:rsidRDefault="00E867EB" w:rsidP="00E867EB">
      <w:proofErr w:type="gramStart"/>
      <w:r w:rsidRPr="00E867EB">
        <w:t>Each use under the exceptions</w:t>
      </w:r>
      <w:proofErr w:type="gramEnd"/>
      <w:r w:rsidRPr="00E867EB">
        <w:t xml:space="preserve"> must satisfy:</w:t>
      </w:r>
    </w:p>
    <w:p w14:paraId="714AFBE6" w14:textId="77777777" w:rsidR="00E867EB" w:rsidRPr="00E867EB" w:rsidRDefault="00E867EB" w:rsidP="00E867EB">
      <w:r w:rsidRPr="00E867EB">
        <w:rPr>
          <w:b/>
          <w:bCs/>
        </w:rPr>
        <w:lastRenderedPageBreak/>
        <w:t>Prior authorization requirement</w:t>
      </w:r>
      <w:r w:rsidRPr="00E867EB">
        <w:t> (</w:t>
      </w:r>
      <w:hyperlink r:id="rId134" w:tgtFrame="_blank" w:history="1">
        <w:r w:rsidRPr="00E867EB">
          <w:rPr>
            <w:rStyle w:val="Hyperlink"/>
          </w:rPr>
          <w:t>Article 5(3)</w:t>
        </w:r>
      </w:hyperlink>
      <w:r w:rsidRPr="00E867EB">
        <w:t>): Each individual use requires prior authorization by a judicial authority or independent administrative authority of the Member State. The application must include objective evidence or clear indications that use is necessary and proportionate.</w:t>
      </w:r>
    </w:p>
    <w:p w14:paraId="64AE8DBB" w14:textId="77777777" w:rsidR="00E867EB" w:rsidRPr="00E867EB" w:rsidRDefault="00E867EB" w:rsidP="00E867EB">
      <w:r w:rsidRPr="00E867EB">
        <w:rPr>
          <w:b/>
          <w:bCs/>
        </w:rPr>
        <w:t>Urgency exception</w:t>
      </w:r>
      <w:r w:rsidRPr="00E867EB">
        <w:t> (</w:t>
      </w:r>
      <w:hyperlink r:id="rId135" w:tgtFrame="_blank" w:history="1">
        <w:r w:rsidRPr="00E867EB">
          <w:rPr>
            <w:rStyle w:val="Hyperlink"/>
          </w:rPr>
          <w:t>Article 5(4)</w:t>
        </w:r>
      </w:hyperlink>
      <w:r w:rsidRPr="00E867EB">
        <w:t>): Use may commence without prior authorization in a duly justified situation of urgency, but authorization must be sought without undue delay, and at the latest within 24 hours. If authorization is refused, the use must cease immediately and all data, results, and outputs from that use must be discarded.</w:t>
      </w:r>
    </w:p>
    <w:p w14:paraId="17801D6C" w14:textId="77777777" w:rsidR="00E867EB" w:rsidRPr="00E867EB" w:rsidRDefault="00E867EB" w:rsidP="00E867EB">
      <w:r w:rsidRPr="00E867EB">
        <w:rPr>
          <w:b/>
          <w:bCs/>
        </w:rPr>
        <w:t>Geographic and temporal limitations</w:t>
      </w:r>
      <w:r w:rsidRPr="00E867EB">
        <w:t> (</w:t>
      </w:r>
      <w:hyperlink r:id="rId136" w:tgtFrame="_blank" w:history="1">
        <w:r w:rsidRPr="00E867EB">
          <w:rPr>
            <w:rStyle w:val="Hyperlink"/>
          </w:rPr>
          <w:t>Article 5(3)</w:t>
        </w:r>
      </w:hyperlink>
      <w:r w:rsidRPr="00E867EB">
        <w:t>): Authorization must include limitations on geographic scope and temporal duration.</w:t>
      </w:r>
    </w:p>
    <w:p w14:paraId="28F56D96" w14:textId="77777777" w:rsidR="00E867EB" w:rsidRPr="00E867EB" w:rsidRDefault="00E867EB" w:rsidP="00E867EB">
      <w:r w:rsidRPr="00E867EB">
        <w:rPr>
          <w:b/>
          <w:bCs/>
        </w:rPr>
        <w:t>Two-person verification</w:t>
      </w:r>
      <w:r w:rsidRPr="00E867EB">
        <w:t> (</w:t>
      </w:r>
      <w:hyperlink r:id="rId137" w:tgtFrame="_blank" w:history="1">
        <w:r w:rsidRPr="00E867EB">
          <w:rPr>
            <w:rStyle w:val="Hyperlink"/>
          </w:rPr>
          <w:t>Article 14(5)</w:t>
        </w:r>
      </w:hyperlink>
      <w:r w:rsidRPr="00E867EB">
        <w:t>): For systems performing remote biometric identification (</w:t>
      </w:r>
      <w:hyperlink r:id="rId138" w:tgtFrame="_blank" w:history="1">
        <w:r w:rsidRPr="00E867EB">
          <w:rPr>
            <w:rStyle w:val="Hyperlink"/>
          </w:rPr>
          <w:t>Annex III, point 1(a)</w:t>
        </w:r>
      </w:hyperlink>
      <w:r w:rsidRPr="00E867EB">
        <w:t>), no action or decision may be taken by the deployer based on the identification produced by the system unless it has been separately verified and confirmed by at least two natural persons with the necessary competence, training, and authority. This requirement does not apply where EU or national law deems its application disproportionate in the context of law enforcement, migration, border control, or asylum.</w:t>
      </w:r>
    </w:p>
    <w:p w14:paraId="6A79D38E" w14:textId="77777777" w:rsidR="00E867EB" w:rsidRPr="00E867EB" w:rsidRDefault="00E867EB" w:rsidP="00E867EB">
      <w:r w:rsidRPr="00E867EB">
        <w:rPr>
          <w:b/>
          <w:bCs/>
        </w:rPr>
        <w:t>Fundamental rights impact assessment</w:t>
      </w:r>
      <w:r w:rsidRPr="00E867EB">
        <w:t> (</w:t>
      </w:r>
      <w:hyperlink r:id="rId139" w:tgtFrame="_blank" w:history="1">
        <w:r w:rsidRPr="00E867EB">
          <w:rPr>
            <w:rStyle w:val="Hyperlink"/>
          </w:rPr>
          <w:t>Article 5(5)</w:t>
        </w:r>
      </w:hyperlink>
      <w:r w:rsidRPr="00E867EB">
        <w:t>): Before any deployment under the exceptions, the law enforcement authority must complete a fundamental rights impact assessment specific to the intended use and register the system in the EU database per </w:t>
      </w:r>
      <w:hyperlink r:id="rId140" w:tgtFrame="_blank" w:history="1">
        <w:r w:rsidRPr="00E867EB">
          <w:rPr>
            <w:rStyle w:val="Hyperlink"/>
          </w:rPr>
          <w:t>Article 49</w:t>
        </w:r>
      </w:hyperlink>
      <w:r w:rsidRPr="00E867EB">
        <w:t>.</w:t>
      </w:r>
    </w:p>
    <w:p w14:paraId="5EB5D40A" w14:textId="77777777" w:rsidR="00E867EB" w:rsidRPr="00E867EB" w:rsidRDefault="00E867EB" w:rsidP="00E867EB">
      <w:r w:rsidRPr="00E867EB">
        <w:rPr>
          <w:b/>
          <w:bCs/>
        </w:rPr>
        <w:t>Annual reporting</w:t>
      </w:r>
      <w:r w:rsidRPr="00E867EB">
        <w:t> (</w:t>
      </w:r>
      <w:hyperlink r:id="rId141" w:tgtFrame="_blank" w:history="1">
        <w:r w:rsidRPr="00E867EB">
          <w:rPr>
            <w:rStyle w:val="Hyperlink"/>
          </w:rPr>
          <w:t>Article 5(6)</w:t>
        </w:r>
      </w:hyperlink>
      <w:r w:rsidRPr="00E867EB">
        <w:t>): National competent authorities must submit annual reports to the Commission and European Data Protection Board on uses of real-time RBI systems.</w:t>
      </w:r>
    </w:p>
    <w:p w14:paraId="00945B3A" w14:textId="77777777" w:rsidR="00E867EB" w:rsidRPr="00E867EB" w:rsidRDefault="00E867EB" w:rsidP="00E867EB">
      <w:r w:rsidRPr="00E867EB">
        <w:rPr>
          <w:b/>
          <w:bCs/>
        </w:rPr>
        <w:t>Member State opt-out</w:t>
      </w:r>
      <w:r w:rsidRPr="00E867EB">
        <w:t> (</w:t>
      </w:r>
      <w:hyperlink r:id="rId142" w:tgtFrame="_blank" w:history="1">
        <w:r w:rsidRPr="00E867EB">
          <w:rPr>
            <w:rStyle w:val="Hyperlink"/>
          </w:rPr>
          <w:t>Article 5(7)</w:t>
        </w:r>
      </w:hyperlink>
      <w:r w:rsidRPr="00E867EB">
        <w:t xml:space="preserve">): Member States may decide not to avail themselves of the exceptions in paragraph 2, either wholly or for specific objectives. Such decisions must be notified </w:t>
      </w:r>
      <w:proofErr w:type="gramStart"/>
      <w:r w:rsidRPr="00E867EB">
        <w:t>to</w:t>
      </w:r>
      <w:proofErr w:type="gramEnd"/>
      <w:r w:rsidRPr="00E867EB">
        <w:t xml:space="preserve"> the Commission.</w:t>
      </w:r>
    </w:p>
    <w:p w14:paraId="567C8082" w14:textId="77777777" w:rsidR="00E867EB" w:rsidRPr="00E867EB" w:rsidRDefault="00E867EB" w:rsidP="00E867EB">
      <w:r w:rsidRPr="00E867EB">
        <w:pict w14:anchorId="35331AF7">
          <v:rect id="_x0000_i1105" style="width:0;height:.75pt" o:hralign="center" o:hrstd="t" o:hr="t" fillcolor="#a0a0a0" stroked="f"/>
        </w:pict>
      </w:r>
    </w:p>
    <w:p w14:paraId="015ADD2A" w14:textId="77777777" w:rsidR="00E867EB" w:rsidRPr="00E867EB" w:rsidRDefault="00E867EB" w:rsidP="00E867EB">
      <w:pPr>
        <w:rPr>
          <w:b/>
          <w:bCs/>
        </w:rPr>
      </w:pPr>
      <w:r w:rsidRPr="00E867EB">
        <w:rPr>
          <w:b/>
          <w:bCs/>
        </w:rPr>
        <w:t>8. Regulatory Sandbox Participation: Operational Details</w:t>
      </w:r>
    </w:p>
    <w:p w14:paraId="15E33C59" w14:textId="77777777" w:rsidR="00E867EB" w:rsidRPr="00E867EB" w:rsidRDefault="00E867EB" w:rsidP="00E867EB">
      <w:r w:rsidRPr="00E867EB">
        <w:t xml:space="preserve">The intermediate tab establishes that sandboxes exist. This section covers how to </w:t>
      </w:r>
      <w:proofErr w:type="gramStart"/>
      <w:r w:rsidRPr="00E867EB">
        <w:t>actually participate</w:t>
      </w:r>
      <w:proofErr w:type="gramEnd"/>
      <w:r w:rsidRPr="00E867EB">
        <w:t xml:space="preserve"> and what protections apply.</w:t>
      </w:r>
    </w:p>
    <w:p w14:paraId="498EDCA1" w14:textId="77777777" w:rsidR="00E867EB" w:rsidRPr="00E867EB" w:rsidRDefault="00E867EB" w:rsidP="00E867EB">
      <w:pPr>
        <w:rPr>
          <w:b/>
          <w:bCs/>
        </w:rPr>
      </w:pPr>
      <w:r w:rsidRPr="00E867EB">
        <w:rPr>
          <w:b/>
          <w:bCs/>
        </w:rPr>
        <w:t>8.1 Establishment and Timeline</w:t>
      </w:r>
    </w:p>
    <w:p w14:paraId="08B2D79C" w14:textId="77777777" w:rsidR="00E867EB" w:rsidRPr="00E867EB" w:rsidRDefault="00E867EB" w:rsidP="00E867EB">
      <w:r w:rsidRPr="00E867EB">
        <w:lastRenderedPageBreak/>
        <w:t>Each Member State must establish at least one AI regulatory sandbox at national level by August 2, 2026 (</w:t>
      </w:r>
      <w:hyperlink r:id="rId143" w:tgtFrame="_blank" w:history="1">
        <w:r w:rsidRPr="00E867EB">
          <w:rPr>
            <w:rStyle w:val="Hyperlink"/>
          </w:rPr>
          <w:t>Article 57(1)</w:t>
        </w:r>
      </w:hyperlink>
      <w:r w:rsidRPr="00E867EB">
        <w:t>), though they may also be established at regional or local level. The European Data Protection Supervisor may establish a sandbox for EU institutions (</w:t>
      </w:r>
      <w:hyperlink r:id="rId144" w:tgtFrame="_blank" w:history="1">
        <w:r w:rsidRPr="00E867EB">
          <w:rPr>
            <w:rStyle w:val="Hyperlink"/>
          </w:rPr>
          <w:t>Article 57(2)</w:t>
        </w:r>
      </w:hyperlink>
      <w:r w:rsidRPr="00E867EB">
        <w:t>).</w:t>
      </w:r>
    </w:p>
    <w:p w14:paraId="50061FA3" w14:textId="77777777" w:rsidR="00E867EB" w:rsidRPr="00E867EB" w:rsidRDefault="00E867EB" w:rsidP="00E867EB">
      <w:pPr>
        <w:rPr>
          <w:b/>
          <w:bCs/>
        </w:rPr>
      </w:pPr>
      <w:r w:rsidRPr="00E867EB">
        <w:rPr>
          <w:b/>
          <w:bCs/>
        </w:rPr>
        <w:t>8.2 Participant Protections</w:t>
      </w:r>
    </w:p>
    <w:p w14:paraId="15F89140" w14:textId="77777777" w:rsidR="00E867EB" w:rsidRPr="00E867EB" w:rsidRDefault="00E867EB" w:rsidP="00E867EB">
      <w:hyperlink r:id="rId145" w:tgtFrame="_blank" w:history="1">
        <w:r w:rsidRPr="00E867EB">
          <w:rPr>
            <w:rStyle w:val="Hyperlink"/>
          </w:rPr>
          <w:t>Article 57(8)</w:t>
        </w:r>
      </w:hyperlink>
      <w:r w:rsidRPr="00E867EB">
        <w:t>: The competent authorities supervising sandboxes must provide participants with guidance and information on regulatory expectations, including the identification of applicable requirements and potential risks. When necessary, they facilitate access to other regulatory bodies, market surveillance authorities, notified bodies, and testing facilities.</w:t>
      </w:r>
    </w:p>
    <w:p w14:paraId="7BE90057" w14:textId="77777777" w:rsidR="00E867EB" w:rsidRPr="00E867EB" w:rsidRDefault="00E867EB" w:rsidP="00E867EB">
      <w:r w:rsidRPr="00E867EB">
        <w:t>The sandbox does not create immunity from the Act’s requirements. </w:t>
      </w:r>
      <w:hyperlink r:id="rId146" w:tgtFrame="_blank" w:history="1">
        <w:r w:rsidRPr="00E867EB">
          <w:rPr>
            <w:rStyle w:val="Hyperlink"/>
          </w:rPr>
          <w:t>Article 57(3)</w:t>
        </w:r>
      </w:hyperlink>
      <w:r w:rsidRPr="00E867EB">
        <w:t> specifies that nothing in the sandbox provisions reduces the supervisory and corrective powers of competent authorities.</w:t>
      </w:r>
    </w:p>
    <w:p w14:paraId="34BEFD5F" w14:textId="77777777" w:rsidR="00E867EB" w:rsidRPr="00E867EB" w:rsidRDefault="00E867EB" w:rsidP="00E867EB">
      <w:pPr>
        <w:rPr>
          <w:b/>
          <w:bCs/>
        </w:rPr>
      </w:pPr>
      <w:r w:rsidRPr="00E867EB">
        <w:rPr>
          <w:b/>
          <w:bCs/>
        </w:rPr>
        <w:t>8.3 Personal Data Processing in Sandboxes</w:t>
      </w:r>
    </w:p>
    <w:p w14:paraId="1E0AF16B" w14:textId="77777777" w:rsidR="00E867EB" w:rsidRPr="00E867EB" w:rsidRDefault="00E867EB" w:rsidP="00E867EB">
      <w:hyperlink r:id="rId147" w:tgtFrame="_blank" w:history="1">
        <w:r w:rsidRPr="00E867EB">
          <w:rPr>
            <w:rStyle w:val="Hyperlink"/>
          </w:rPr>
          <w:t>Article 59</w:t>
        </w:r>
      </w:hyperlink>
      <w:r w:rsidRPr="00E867EB">
        <w:t> establishes specific conditions for processing personal data within regulatory sandboxes:</w:t>
      </w:r>
    </w:p>
    <w:p w14:paraId="24DC496C" w14:textId="77777777" w:rsidR="00E867EB" w:rsidRPr="00E867EB" w:rsidRDefault="00E867EB" w:rsidP="00E867EB">
      <w:pPr>
        <w:numPr>
          <w:ilvl w:val="0"/>
          <w:numId w:val="26"/>
        </w:numPr>
      </w:pPr>
      <w:r w:rsidRPr="00E867EB">
        <w:t>Personal data lawfully collected for other purposes may be processed within the sandbox solely for developing, training, and testing certain AI systems, subject to specific safeguards</w:t>
      </w:r>
    </w:p>
    <w:p w14:paraId="31F98CE0" w14:textId="77777777" w:rsidR="00E867EB" w:rsidRPr="00E867EB" w:rsidRDefault="00E867EB" w:rsidP="00E867EB">
      <w:pPr>
        <w:numPr>
          <w:ilvl w:val="0"/>
          <w:numId w:val="26"/>
        </w:numPr>
      </w:pPr>
      <w:r w:rsidRPr="00E867EB">
        <w:t>Processing must occur in a functionally separate, isolated, and protected environment under the control of the participant</w:t>
      </w:r>
    </w:p>
    <w:p w14:paraId="4D9E42A5" w14:textId="77777777" w:rsidR="00E867EB" w:rsidRPr="00E867EB" w:rsidRDefault="00E867EB" w:rsidP="00E867EB">
      <w:pPr>
        <w:numPr>
          <w:ilvl w:val="0"/>
          <w:numId w:val="26"/>
        </w:numPr>
      </w:pPr>
      <w:r w:rsidRPr="00E867EB">
        <w:t>Personal data must not be transmitted, transferred, or otherwise accessed by other parties</w:t>
      </w:r>
    </w:p>
    <w:p w14:paraId="4B6F828A" w14:textId="77777777" w:rsidR="00E867EB" w:rsidRPr="00E867EB" w:rsidRDefault="00E867EB" w:rsidP="00E867EB">
      <w:pPr>
        <w:numPr>
          <w:ilvl w:val="0"/>
          <w:numId w:val="26"/>
        </w:numPr>
      </w:pPr>
      <w:r w:rsidRPr="00E867EB">
        <w:t>Personal data processing must not lead to measures or decisions affecting data subjects</w:t>
      </w:r>
    </w:p>
    <w:p w14:paraId="0FEFD6BB" w14:textId="77777777" w:rsidR="00E867EB" w:rsidRPr="00E867EB" w:rsidRDefault="00E867EB" w:rsidP="00E867EB">
      <w:pPr>
        <w:numPr>
          <w:ilvl w:val="0"/>
          <w:numId w:val="26"/>
        </w:numPr>
      </w:pPr>
      <w:r w:rsidRPr="00E867EB">
        <w:t>Personal data must be deleted once participation ends or the data reaches its retention period</w:t>
      </w:r>
    </w:p>
    <w:p w14:paraId="7F0D7B4D" w14:textId="77777777" w:rsidR="00E867EB" w:rsidRPr="00E867EB" w:rsidRDefault="00E867EB" w:rsidP="00E867EB">
      <w:pPr>
        <w:numPr>
          <w:ilvl w:val="0"/>
          <w:numId w:val="26"/>
        </w:numPr>
      </w:pPr>
      <w:r w:rsidRPr="00E867EB">
        <w:t>Logs of processing are kept for the duration of participation and 12 months after exit</w:t>
      </w:r>
    </w:p>
    <w:p w14:paraId="43404217" w14:textId="77777777" w:rsidR="00E867EB" w:rsidRPr="00E867EB" w:rsidRDefault="00E867EB" w:rsidP="00E867EB">
      <w:pPr>
        <w:rPr>
          <w:b/>
          <w:bCs/>
        </w:rPr>
      </w:pPr>
      <w:r w:rsidRPr="00E867EB">
        <w:rPr>
          <w:b/>
          <w:bCs/>
        </w:rPr>
        <w:t>8.4 Priority Access and Fee Structures</w:t>
      </w:r>
    </w:p>
    <w:p w14:paraId="133455C8" w14:textId="77777777" w:rsidR="00E867EB" w:rsidRPr="00E867EB" w:rsidRDefault="00E867EB" w:rsidP="00E867EB">
      <w:r w:rsidRPr="00E867EB">
        <w:t>SMEs and startups receive priority access (</w:t>
      </w:r>
      <w:hyperlink r:id="rId148" w:tgtFrame="_blank" w:history="1">
        <w:r w:rsidRPr="00E867EB">
          <w:rPr>
            <w:rStyle w:val="Hyperlink"/>
          </w:rPr>
          <w:t>Article 57(7)</w:t>
        </w:r>
      </w:hyperlink>
      <w:r w:rsidRPr="00E867EB">
        <w:t>). The fees charged for participation must be proportionate and consider the administrative costs of competent authorities, with reduced rates for SMEs and startups (</w:t>
      </w:r>
      <w:hyperlink r:id="rId149" w:tgtFrame="_blank" w:history="1">
        <w:r w:rsidRPr="00E867EB">
          <w:rPr>
            <w:rStyle w:val="Hyperlink"/>
          </w:rPr>
          <w:t>Article 57(12)</w:t>
        </w:r>
      </w:hyperlink>
      <w:r w:rsidRPr="00E867EB">
        <w:t>).</w:t>
      </w:r>
    </w:p>
    <w:p w14:paraId="59CBA2EF" w14:textId="77777777" w:rsidR="00E867EB" w:rsidRPr="00E867EB" w:rsidRDefault="00E867EB" w:rsidP="00E867EB">
      <w:pPr>
        <w:rPr>
          <w:b/>
          <w:bCs/>
        </w:rPr>
      </w:pPr>
      <w:r w:rsidRPr="00E867EB">
        <w:rPr>
          <w:b/>
          <w:bCs/>
        </w:rPr>
        <w:lastRenderedPageBreak/>
        <w:t>8.5 Cross-Border Recognition</w:t>
      </w:r>
    </w:p>
    <w:p w14:paraId="74369D63" w14:textId="77777777" w:rsidR="00E867EB" w:rsidRPr="00E867EB" w:rsidRDefault="00E867EB" w:rsidP="00E867EB">
      <w:hyperlink r:id="rId150" w:tgtFrame="_blank" w:history="1">
        <w:r w:rsidRPr="00E867EB">
          <w:rPr>
            <w:rStyle w:val="Hyperlink"/>
          </w:rPr>
          <w:t>Article 57(9)</w:t>
        </w:r>
      </w:hyperlink>
      <w:r w:rsidRPr="00E867EB">
        <w:t>: Where the regulatory sandbox involves AI systems in areas covered by other national competent authorities or market surveillance authorities, the sandbox authority shall ensure their involvement and cooperation.</w:t>
      </w:r>
    </w:p>
    <w:p w14:paraId="6E40D4C0" w14:textId="77777777" w:rsidR="00E867EB" w:rsidRPr="00E867EB" w:rsidRDefault="00E867EB" w:rsidP="00E867EB">
      <w:r w:rsidRPr="00E867EB">
        <w:pict w14:anchorId="049E3340">
          <v:rect id="_x0000_i1106" style="width:0;height:.75pt" o:hralign="center" o:hrstd="t" o:hr="t" fillcolor="#a0a0a0" stroked="f"/>
        </w:pict>
      </w:r>
    </w:p>
    <w:p w14:paraId="482EB845" w14:textId="77777777" w:rsidR="00E867EB" w:rsidRPr="00E867EB" w:rsidRDefault="00E867EB" w:rsidP="00E867EB">
      <w:pPr>
        <w:rPr>
          <w:b/>
          <w:bCs/>
        </w:rPr>
      </w:pPr>
      <w:r w:rsidRPr="00E867EB">
        <w:rPr>
          <w:b/>
          <w:bCs/>
        </w:rPr>
        <w:t>9. Serious Incident Response: Building the Playbook</w:t>
      </w:r>
    </w:p>
    <w:p w14:paraId="436005E9" w14:textId="77777777" w:rsidR="00E867EB" w:rsidRPr="00E867EB" w:rsidRDefault="00E867EB" w:rsidP="00E867EB">
      <w:hyperlink r:id="rId151" w:tgtFrame="_blank" w:history="1">
        <w:r w:rsidRPr="00E867EB">
          <w:rPr>
            <w:rStyle w:val="Hyperlink"/>
          </w:rPr>
          <w:t>Article 73</w:t>
        </w:r>
      </w:hyperlink>
      <w:r w:rsidRPr="00E867EB">
        <w:t> creates specific reporting obligations that go beyond “we have an incident response plan.” This section provides the structure for operationalizing those obligations.</w:t>
      </w:r>
    </w:p>
    <w:p w14:paraId="55CF8320" w14:textId="77777777" w:rsidR="00E867EB" w:rsidRPr="00E867EB" w:rsidRDefault="00E867EB" w:rsidP="00E867EB">
      <w:pPr>
        <w:rPr>
          <w:b/>
          <w:bCs/>
        </w:rPr>
      </w:pPr>
      <w:r w:rsidRPr="00E867EB">
        <w:rPr>
          <w:b/>
          <w:bCs/>
        </w:rPr>
        <w:t>9.1 What Constitutes a “Serious Incident”</w:t>
      </w:r>
    </w:p>
    <w:p w14:paraId="14E64768" w14:textId="77777777" w:rsidR="00E867EB" w:rsidRPr="00E867EB" w:rsidRDefault="00E867EB" w:rsidP="00E867EB">
      <w:hyperlink r:id="rId152" w:tgtFrame="_blank" w:history="1">
        <w:r w:rsidRPr="00E867EB">
          <w:rPr>
            <w:rStyle w:val="Hyperlink"/>
          </w:rPr>
          <w:t>Article 3(49)</w:t>
        </w:r>
      </w:hyperlink>
      <w:r w:rsidRPr="00E867EB">
        <w:t> defines a serious incident as any incident or malfunctioning of an AI system that directly or indirectly leads to:</w:t>
      </w:r>
    </w:p>
    <w:p w14:paraId="614E2005" w14:textId="77777777" w:rsidR="00E867EB" w:rsidRPr="00E867EB" w:rsidRDefault="00E867EB" w:rsidP="00E867EB">
      <w:pPr>
        <w:numPr>
          <w:ilvl w:val="0"/>
          <w:numId w:val="27"/>
        </w:numPr>
      </w:pPr>
      <w:r w:rsidRPr="00E867EB">
        <w:t>Death of a person, or serious damage to a person’s health</w:t>
      </w:r>
    </w:p>
    <w:p w14:paraId="0D2F4559" w14:textId="77777777" w:rsidR="00E867EB" w:rsidRPr="00E867EB" w:rsidRDefault="00E867EB" w:rsidP="00E867EB">
      <w:pPr>
        <w:numPr>
          <w:ilvl w:val="0"/>
          <w:numId w:val="27"/>
        </w:numPr>
      </w:pPr>
      <w:r w:rsidRPr="00E867EB">
        <w:t>A serious and irreversible disruption of the management or operation of critical infrastructure</w:t>
      </w:r>
    </w:p>
    <w:p w14:paraId="69841F87" w14:textId="77777777" w:rsidR="00E867EB" w:rsidRPr="00E867EB" w:rsidRDefault="00E867EB" w:rsidP="00E867EB">
      <w:pPr>
        <w:numPr>
          <w:ilvl w:val="0"/>
          <w:numId w:val="27"/>
        </w:numPr>
      </w:pPr>
      <w:r w:rsidRPr="00E867EB">
        <w:t>Breach of obligations under Union law intended to protect fundamental rights</w:t>
      </w:r>
    </w:p>
    <w:p w14:paraId="0CBA60BA" w14:textId="77777777" w:rsidR="00E867EB" w:rsidRPr="00E867EB" w:rsidRDefault="00E867EB" w:rsidP="00E867EB">
      <w:pPr>
        <w:numPr>
          <w:ilvl w:val="0"/>
          <w:numId w:val="27"/>
        </w:numPr>
      </w:pPr>
      <w:r w:rsidRPr="00E867EB">
        <w:t>Serious damage to property or the environment</w:t>
      </w:r>
    </w:p>
    <w:p w14:paraId="651D7B83" w14:textId="77777777" w:rsidR="00E867EB" w:rsidRPr="00E867EB" w:rsidRDefault="00E867EB" w:rsidP="00E867EB">
      <w:pPr>
        <w:rPr>
          <w:b/>
          <w:bCs/>
        </w:rPr>
      </w:pPr>
      <w:r w:rsidRPr="00E867EB">
        <w:rPr>
          <w:b/>
          <w:bCs/>
        </w:rPr>
        <w:t>9.2 Reporting Timelines (Article 73(4))</w:t>
      </w:r>
    </w:p>
    <w:p w14:paraId="3718366B" w14:textId="77777777" w:rsidR="00E867EB" w:rsidRPr="00E867EB" w:rsidRDefault="00E867EB" w:rsidP="00E867EB">
      <w:r w:rsidRPr="00E867EB">
        <w:rPr>
          <w:i/>
          <w:iCs/>
        </w:rPr>
        <w:t>Three timelines apply depending on severity:</w:t>
      </w:r>
    </w:p>
    <w:p w14:paraId="36EC7AF1" w14:textId="77777777" w:rsidR="00E867EB" w:rsidRPr="00E867EB" w:rsidRDefault="00E867EB" w:rsidP="00E867EB">
      <w:pPr>
        <w:numPr>
          <w:ilvl w:val="0"/>
          <w:numId w:val="28"/>
        </w:numPr>
      </w:pPr>
      <w:r w:rsidRPr="00E867EB">
        <w:rPr>
          <w:i/>
          <w:iCs/>
        </w:rPr>
        <w:t>General serious incidents (Article 73(2)):</w:t>
      </w:r>
      <w:r w:rsidRPr="00E867EB">
        <w:t> Report immediately after establishing causal link, no later than </w:t>
      </w:r>
      <w:r w:rsidRPr="00E867EB">
        <w:rPr>
          <w:b/>
          <w:bCs/>
        </w:rPr>
        <w:t>15 days</w:t>
      </w:r>
      <w:r w:rsidRPr="00E867EB">
        <w:t>.</w:t>
      </w:r>
    </w:p>
    <w:p w14:paraId="293541C0" w14:textId="77777777" w:rsidR="00E867EB" w:rsidRPr="00E867EB" w:rsidRDefault="00E867EB" w:rsidP="00E867EB">
      <w:pPr>
        <w:numPr>
          <w:ilvl w:val="0"/>
          <w:numId w:val="28"/>
        </w:numPr>
      </w:pPr>
      <w:r w:rsidRPr="00E867EB">
        <w:rPr>
          <w:i/>
          <w:iCs/>
        </w:rPr>
        <w:t>Death of a person (Article 73(4)):</w:t>
      </w:r>
      <w:r w:rsidRPr="00E867EB">
        <w:t> Report immediately after establishing or suspecting causal link, no later than </w:t>
      </w:r>
      <w:r w:rsidRPr="00E867EB">
        <w:rPr>
          <w:b/>
          <w:bCs/>
        </w:rPr>
        <w:t>10 days</w:t>
      </w:r>
      <w:r w:rsidRPr="00E867EB">
        <w:t>.</w:t>
      </w:r>
    </w:p>
    <w:p w14:paraId="7B282030" w14:textId="77777777" w:rsidR="00E867EB" w:rsidRPr="00E867EB" w:rsidRDefault="00E867EB" w:rsidP="00E867EB">
      <w:pPr>
        <w:numPr>
          <w:ilvl w:val="0"/>
          <w:numId w:val="28"/>
        </w:numPr>
      </w:pPr>
      <w:r w:rsidRPr="00E867EB">
        <w:rPr>
          <w:i/>
          <w:iCs/>
        </w:rPr>
        <w:t>Widespread infringement or critical infrastructure disruption under Article 3(49)(b) (Article 73(3)):</w:t>
      </w:r>
      <w:r w:rsidRPr="00E867EB">
        <w:t> Report immediately, no later than </w:t>
      </w:r>
      <w:r w:rsidRPr="00E867EB">
        <w:rPr>
          <w:b/>
          <w:bCs/>
        </w:rPr>
        <w:t xml:space="preserve">2 </w:t>
      </w:r>
      <w:proofErr w:type="gramStart"/>
      <w:r w:rsidRPr="00E867EB">
        <w:rPr>
          <w:b/>
          <w:bCs/>
        </w:rPr>
        <w:t>day</w:t>
      </w:r>
      <w:proofErr w:type="gramEnd"/>
    </w:p>
    <w:p w14:paraId="4D67CF8B" w14:textId="77777777" w:rsidR="00E867EB" w:rsidRPr="00E867EB" w:rsidRDefault="00E867EB" w:rsidP="00E867EB">
      <w:r w:rsidRPr="00E867EB">
        <w:t>(</w:t>
      </w:r>
      <w:hyperlink r:id="rId153" w:tgtFrame="_blank" w:history="1">
        <w:r w:rsidRPr="00E867EB">
          <w:rPr>
            <w:rStyle w:val="Hyperlink"/>
          </w:rPr>
          <w:t>Article 73(1)</w:t>
        </w:r>
      </w:hyperlink>
      <w:r w:rsidRPr="00E867EB">
        <w:t>).</w:t>
      </w:r>
    </w:p>
    <w:p w14:paraId="2291D5F3" w14:textId="77777777" w:rsidR="00E867EB" w:rsidRPr="00E867EB" w:rsidRDefault="00E867EB" w:rsidP="00E867EB">
      <w:pPr>
        <w:rPr>
          <w:b/>
          <w:bCs/>
        </w:rPr>
      </w:pPr>
      <w:r w:rsidRPr="00E867EB">
        <w:rPr>
          <w:b/>
          <w:bCs/>
        </w:rPr>
        <w:t>9.3 Report Content Requirements (Article 73(5))</w:t>
      </w:r>
    </w:p>
    <w:p w14:paraId="4FC98592" w14:textId="77777777" w:rsidR="00E867EB" w:rsidRPr="00E867EB" w:rsidRDefault="00E867EB" w:rsidP="00E867EB">
      <w:r w:rsidRPr="00E867EB">
        <w:t>The initial report must include:</w:t>
      </w:r>
    </w:p>
    <w:p w14:paraId="01161805" w14:textId="77777777" w:rsidR="00E867EB" w:rsidRPr="00E867EB" w:rsidRDefault="00E867EB" w:rsidP="00E867EB">
      <w:pPr>
        <w:numPr>
          <w:ilvl w:val="0"/>
          <w:numId w:val="29"/>
        </w:numPr>
      </w:pPr>
      <w:r w:rsidRPr="00E867EB">
        <w:t>The type of high-risk AI system</w:t>
      </w:r>
    </w:p>
    <w:p w14:paraId="47A43376" w14:textId="77777777" w:rsidR="00E867EB" w:rsidRPr="00E867EB" w:rsidRDefault="00E867EB" w:rsidP="00E867EB">
      <w:pPr>
        <w:numPr>
          <w:ilvl w:val="0"/>
          <w:numId w:val="29"/>
        </w:numPr>
      </w:pPr>
      <w:r w:rsidRPr="00E867EB">
        <w:lastRenderedPageBreak/>
        <w:t>The identification of the provider (name, registration number)</w:t>
      </w:r>
    </w:p>
    <w:p w14:paraId="0156FFD4" w14:textId="77777777" w:rsidR="00E867EB" w:rsidRPr="00E867EB" w:rsidRDefault="00E867EB" w:rsidP="00E867EB">
      <w:pPr>
        <w:numPr>
          <w:ilvl w:val="0"/>
          <w:numId w:val="29"/>
        </w:numPr>
      </w:pPr>
      <w:proofErr w:type="gramStart"/>
      <w:r w:rsidRPr="00E867EB">
        <w:t>The description</w:t>
      </w:r>
      <w:proofErr w:type="gramEnd"/>
      <w:r w:rsidRPr="00E867EB">
        <w:t xml:space="preserve"> of the incident</w:t>
      </w:r>
    </w:p>
    <w:p w14:paraId="01A10B50" w14:textId="77777777" w:rsidR="00E867EB" w:rsidRPr="00E867EB" w:rsidRDefault="00E867EB" w:rsidP="00E867EB">
      <w:pPr>
        <w:numPr>
          <w:ilvl w:val="0"/>
          <w:numId w:val="29"/>
        </w:numPr>
      </w:pPr>
      <w:r w:rsidRPr="00E867EB">
        <w:t>The initial assessment of the causes</w:t>
      </w:r>
    </w:p>
    <w:p w14:paraId="1A3B9E62" w14:textId="77777777" w:rsidR="00E867EB" w:rsidRPr="00E867EB" w:rsidRDefault="00E867EB" w:rsidP="00E867EB">
      <w:pPr>
        <w:numPr>
          <w:ilvl w:val="0"/>
          <w:numId w:val="29"/>
        </w:numPr>
      </w:pPr>
      <w:r w:rsidRPr="00E867EB">
        <w:t>The measures taken or envisaged by the provider</w:t>
      </w:r>
    </w:p>
    <w:p w14:paraId="7C37DBEB" w14:textId="77777777" w:rsidR="00E867EB" w:rsidRPr="00E867EB" w:rsidRDefault="00E867EB" w:rsidP="00E867EB">
      <w:r w:rsidRPr="00E867EB">
        <w:t>Subsequent reports may be required as the investigation progresses.</w:t>
      </w:r>
    </w:p>
    <w:p w14:paraId="05FCAE6A" w14:textId="77777777" w:rsidR="00E867EB" w:rsidRPr="00E867EB" w:rsidRDefault="00E867EB" w:rsidP="00E867EB">
      <w:pPr>
        <w:rPr>
          <w:b/>
          <w:bCs/>
        </w:rPr>
      </w:pPr>
      <w:r w:rsidRPr="00E867EB">
        <w:rPr>
          <w:b/>
          <w:bCs/>
        </w:rPr>
        <w:t>9.4 Deployer Reporting Obligations</w:t>
      </w:r>
    </w:p>
    <w:p w14:paraId="49BBC0E5" w14:textId="77777777" w:rsidR="00E867EB" w:rsidRPr="00E867EB" w:rsidRDefault="00E867EB" w:rsidP="00E867EB">
      <w:r w:rsidRPr="00E867EB">
        <w:t>Deployers who identify a serious incident must first inform the provider (</w:t>
      </w:r>
      <w:hyperlink r:id="rId154" w:tgtFrame="_blank" w:history="1">
        <w:r w:rsidRPr="00E867EB">
          <w:rPr>
            <w:rStyle w:val="Hyperlink"/>
          </w:rPr>
          <w:t>Article 26(5)</w:t>
        </w:r>
      </w:hyperlink>
      <w:r w:rsidRPr="00E867EB">
        <w:t>). Deployers that are public authorities also have direct reporting obligations (</w:t>
      </w:r>
      <w:hyperlink r:id="rId155" w:tgtFrame="_blank" w:history="1">
        <w:r w:rsidRPr="00E867EB">
          <w:rPr>
            <w:rStyle w:val="Hyperlink"/>
          </w:rPr>
          <w:t>Article 73(1)</w:t>
        </w:r>
      </w:hyperlink>
      <w:r w:rsidRPr="00E867EB">
        <w:t>).</w:t>
      </w:r>
    </w:p>
    <w:p w14:paraId="42E3E75C" w14:textId="77777777" w:rsidR="00E867EB" w:rsidRPr="00E867EB" w:rsidRDefault="00E867EB" w:rsidP="00E867EB">
      <w:r w:rsidRPr="00E867EB">
        <w:rPr>
          <w:b/>
          <w:bCs/>
        </w:rPr>
        <w:t>Building the operational playbook:</w:t>
      </w:r>
    </w:p>
    <w:p w14:paraId="3C2F89EA" w14:textId="77777777" w:rsidR="00E867EB" w:rsidRPr="00E867EB" w:rsidRDefault="00E867EB" w:rsidP="00E867EB">
      <w:pPr>
        <w:numPr>
          <w:ilvl w:val="0"/>
          <w:numId w:val="30"/>
        </w:numPr>
      </w:pPr>
      <w:r w:rsidRPr="00E867EB">
        <w:t>Define internal escalation criteria mapped to Article 3(49) serious incident definition</w:t>
      </w:r>
    </w:p>
    <w:p w14:paraId="06CAB984" w14:textId="77777777" w:rsidR="00E867EB" w:rsidRPr="00E867EB" w:rsidRDefault="00E867EB" w:rsidP="00E867EB">
      <w:pPr>
        <w:numPr>
          <w:ilvl w:val="0"/>
          <w:numId w:val="30"/>
        </w:numPr>
      </w:pPr>
      <w:r w:rsidRPr="00E867EB">
        <w:t>Establish immediate notification procedure to the provider (for deployers) or to market surveillance authorities (for providers)</w:t>
      </w:r>
    </w:p>
    <w:p w14:paraId="2A3BB8D3" w14:textId="77777777" w:rsidR="00E867EB" w:rsidRPr="00E867EB" w:rsidRDefault="00E867EB" w:rsidP="00E867EB">
      <w:pPr>
        <w:numPr>
          <w:ilvl w:val="0"/>
          <w:numId w:val="30"/>
        </w:numPr>
      </w:pPr>
      <w:r w:rsidRPr="00E867EB">
        <w:t>Assign responsibility for initial assessment of causal link</w:t>
      </w:r>
    </w:p>
    <w:p w14:paraId="502E2F26" w14:textId="77777777" w:rsidR="00E867EB" w:rsidRPr="00E867EB" w:rsidRDefault="00E867EB" w:rsidP="00E867EB">
      <w:pPr>
        <w:numPr>
          <w:ilvl w:val="0"/>
          <w:numId w:val="30"/>
        </w:numPr>
      </w:pPr>
      <w:r w:rsidRPr="00E867EB">
        <w:t>Create template aligned with Article 73(5) content requirements</w:t>
      </w:r>
    </w:p>
    <w:p w14:paraId="16D39D00" w14:textId="77777777" w:rsidR="00E867EB" w:rsidRPr="00E867EB" w:rsidRDefault="00E867EB" w:rsidP="00E867EB">
      <w:pPr>
        <w:numPr>
          <w:ilvl w:val="0"/>
          <w:numId w:val="30"/>
        </w:numPr>
      </w:pPr>
      <w:r w:rsidRPr="00E867EB">
        <w:t>Define the 2-day vs. 15-day timeline decision process</w:t>
      </w:r>
    </w:p>
    <w:p w14:paraId="4F3AB475" w14:textId="77777777" w:rsidR="00E867EB" w:rsidRPr="00E867EB" w:rsidRDefault="00E867EB" w:rsidP="00E867EB">
      <w:pPr>
        <w:numPr>
          <w:ilvl w:val="0"/>
          <w:numId w:val="30"/>
        </w:numPr>
      </w:pPr>
      <w:r w:rsidRPr="00E867EB">
        <w:t>Document follow-up investigation and corrective action procedures (</w:t>
      </w:r>
      <w:hyperlink r:id="rId156" w:tgtFrame="_blank" w:history="1">
        <w:r w:rsidRPr="00E867EB">
          <w:rPr>
            <w:rStyle w:val="Hyperlink"/>
          </w:rPr>
          <w:t>Article 20</w:t>
        </w:r>
      </w:hyperlink>
      <w:r w:rsidRPr="00E867EB">
        <w:t>)</w:t>
      </w:r>
    </w:p>
    <w:p w14:paraId="1A29D3D5" w14:textId="77777777" w:rsidR="00E867EB" w:rsidRPr="00E867EB" w:rsidRDefault="00E867EB" w:rsidP="00E867EB">
      <w:pPr>
        <w:numPr>
          <w:ilvl w:val="0"/>
          <w:numId w:val="30"/>
        </w:numPr>
      </w:pPr>
      <w:r w:rsidRPr="00E867EB">
        <w:t>Maintain incident logs separate from automatic event logging under </w:t>
      </w:r>
      <w:hyperlink r:id="rId157" w:tgtFrame="_blank" w:history="1">
        <w:r w:rsidRPr="00E867EB">
          <w:rPr>
            <w:rStyle w:val="Hyperlink"/>
          </w:rPr>
          <w:t>Article 12</w:t>
        </w:r>
      </w:hyperlink>
    </w:p>
    <w:p w14:paraId="51B0585C" w14:textId="77777777" w:rsidR="00E867EB" w:rsidRPr="00E867EB" w:rsidRDefault="00E867EB" w:rsidP="00E867EB">
      <w:r w:rsidRPr="00E867EB">
        <w:pict w14:anchorId="4420D699">
          <v:rect id="_x0000_i1107" style="width:0;height:.75pt" o:hralign="center" o:hrstd="t" o:hr="t" fillcolor="#a0a0a0" stroked="f"/>
        </w:pict>
      </w:r>
    </w:p>
    <w:p w14:paraId="753AB449" w14:textId="77777777" w:rsidR="00E867EB" w:rsidRPr="00E867EB" w:rsidRDefault="00E867EB" w:rsidP="00E867EB">
      <w:pPr>
        <w:rPr>
          <w:b/>
          <w:bCs/>
        </w:rPr>
      </w:pPr>
      <w:r w:rsidRPr="00E867EB">
        <w:rPr>
          <w:b/>
          <w:bCs/>
        </w:rPr>
        <w:t>Reference: Key Article Index for Advanced Practitioners</w:t>
      </w:r>
    </w:p>
    <w:tbl>
      <w:tblPr>
        <w:tblW w:w="16800" w:type="dxa"/>
        <w:tblBorders>
          <w:top w:val="single" w:sz="6" w:space="0" w:color="EEEEEE"/>
          <w:left w:val="single" w:sz="6" w:space="0" w:color="EEEEEE"/>
          <w:bottom w:val="single" w:sz="6" w:space="0" w:color="EEEEEE"/>
          <w:right w:val="single" w:sz="6" w:space="0" w:color="EEEEEE"/>
        </w:tblBorders>
        <w:shd w:val="clear" w:color="auto" w:fill="FFFFFF"/>
        <w:tblCellMar>
          <w:top w:w="15" w:type="dxa"/>
          <w:left w:w="15" w:type="dxa"/>
          <w:bottom w:w="15" w:type="dxa"/>
          <w:right w:w="15" w:type="dxa"/>
        </w:tblCellMar>
        <w:tblLook w:val="04A0" w:firstRow="1" w:lastRow="0" w:firstColumn="1" w:lastColumn="0" w:noHBand="0" w:noVBand="1"/>
      </w:tblPr>
      <w:tblGrid>
        <w:gridCol w:w="6054"/>
        <w:gridCol w:w="4593"/>
        <w:gridCol w:w="6153"/>
      </w:tblGrid>
      <w:tr w:rsidR="00E867EB" w:rsidRPr="00E867EB" w14:paraId="615E02A4" w14:textId="77777777">
        <w:trPr>
          <w:tblHeader/>
        </w:trPr>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8233FD1" w14:textId="77777777" w:rsidR="00E867EB" w:rsidRPr="00E867EB" w:rsidRDefault="00E867EB" w:rsidP="00E867EB">
            <w:pPr>
              <w:rPr>
                <w:b/>
                <w:bCs/>
              </w:rPr>
            </w:pPr>
            <w:r w:rsidRPr="00E867EB">
              <w:rPr>
                <w:b/>
                <w:bCs/>
              </w:rPr>
              <w:t>Topic</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2B5412F6" w14:textId="77777777" w:rsidR="00E867EB" w:rsidRPr="00E867EB" w:rsidRDefault="00E867EB" w:rsidP="00E867EB">
            <w:pPr>
              <w:rPr>
                <w:b/>
                <w:bCs/>
              </w:rPr>
            </w:pPr>
            <w:r w:rsidRPr="00E867EB">
              <w:rPr>
                <w:b/>
                <w:bCs/>
              </w:rPr>
              <w:t>Primary Articles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3683FA2" w14:textId="77777777" w:rsidR="00E867EB" w:rsidRPr="00E867EB" w:rsidRDefault="00E867EB" w:rsidP="00E867EB">
            <w:pPr>
              <w:rPr>
                <w:b/>
                <w:bCs/>
              </w:rPr>
            </w:pPr>
            <w:r w:rsidRPr="00E867EB">
              <w:rPr>
                <w:b/>
                <w:bCs/>
              </w:rPr>
              <w:t>Supporting Provisions</w:t>
            </w:r>
          </w:p>
        </w:tc>
      </w:tr>
      <w:tr w:rsidR="00E867EB" w:rsidRPr="00E867EB" w14:paraId="7B68A1E7"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E9830C8" w14:textId="77777777" w:rsidR="00E867EB" w:rsidRPr="00E867EB" w:rsidRDefault="00E867EB" w:rsidP="00E867EB">
            <w:r w:rsidRPr="00E867EB">
              <w:t>Conformity assessment procedures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F945560" w14:textId="77777777" w:rsidR="00E867EB" w:rsidRPr="00E867EB" w:rsidRDefault="00E867EB" w:rsidP="00E867EB">
            <w:hyperlink r:id="rId158" w:tgtFrame="_blank" w:history="1">
              <w:r w:rsidRPr="00E867EB">
                <w:rPr>
                  <w:rStyle w:val="Hyperlink"/>
                </w:rPr>
                <w:t>Article 43</w:t>
              </w:r>
            </w:hyperlink>
            <w:r w:rsidRPr="00E867EB">
              <w:t>, </w:t>
            </w:r>
            <w:hyperlink r:id="rId159" w:tgtFrame="_blank" w:history="1">
              <w:r w:rsidRPr="00E867EB">
                <w:rPr>
                  <w:rStyle w:val="Hyperlink"/>
                </w:rPr>
                <w:t>Annex VI</w:t>
              </w:r>
            </w:hyperlink>
            <w:r w:rsidRPr="00E867EB">
              <w:t>, </w:t>
            </w:r>
            <w:hyperlink r:id="rId160" w:tgtFrame="_blank" w:history="1">
              <w:r w:rsidRPr="00E867EB">
                <w:rPr>
                  <w:rStyle w:val="Hyperlink"/>
                </w:rPr>
                <w:t>Annex VII</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89C334B" w14:textId="77777777" w:rsidR="00E867EB" w:rsidRPr="00E867EB" w:rsidRDefault="00E867EB" w:rsidP="00E867EB">
            <w:r w:rsidRPr="00E867EB">
              <w:t>Articles 40, 41, 44, 47, 48, 49</w:t>
            </w:r>
          </w:p>
        </w:tc>
      </w:tr>
      <w:tr w:rsidR="00E867EB" w:rsidRPr="00E867EB" w14:paraId="166C6A3E"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8181D11" w14:textId="77777777" w:rsidR="00E867EB" w:rsidRPr="00E867EB" w:rsidRDefault="00E867EB" w:rsidP="00E867EB">
            <w:r w:rsidRPr="00E867EB">
              <w:t>Technical documentation</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02002A5" w14:textId="77777777" w:rsidR="00E867EB" w:rsidRPr="00E867EB" w:rsidRDefault="00E867EB" w:rsidP="00E867EB">
            <w:hyperlink r:id="rId161" w:tgtFrame="_blank" w:history="1">
              <w:r w:rsidRPr="00E867EB">
                <w:rPr>
                  <w:rStyle w:val="Hyperlink"/>
                </w:rPr>
                <w:t>Article 11</w:t>
              </w:r>
            </w:hyperlink>
            <w:r w:rsidRPr="00E867EB">
              <w:t>, </w:t>
            </w:r>
            <w:hyperlink r:id="rId162" w:tgtFrame="_blank" w:history="1">
              <w:r w:rsidRPr="00E867EB">
                <w:rPr>
                  <w:rStyle w:val="Hyperlink"/>
                </w:rPr>
                <w:t>Annex IV</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7125C50" w14:textId="77777777" w:rsidR="00E867EB" w:rsidRPr="00E867EB" w:rsidRDefault="00E867EB" w:rsidP="00E867EB">
            <w:r w:rsidRPr="00E867EB">
              <w:t>Articles 9, 10, 12-15, 17</w:t>
            </w:r>
          </w:p>
        </w:tc>
      </w:tr>
      <w:tr w:rsidR="00E867EB" w:rsidRPr="00E867EB" w14:paraId="0DDB8B17"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83485B1" w14:textId="77777777" w:rsidR="00E867EB" w:rsidRPr="00E867EB" w:rsidRDefault="00E867EB" w:rsidP="00E867EB">
            <w:r w:rsidRPr="00E867EB">
              <w:t>Fundamental rights impact assessment</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1F9C7D7" w14:textId="77777777" w:rsidR="00E867EB" w:rsidRPr="00E867EB" w:rsidRDefault="00E867EB" w:rsidP="00E867EB">
            <w:hyperlink r:id="rId163" w:tgtFrame="_blank" w:history="1">
              <w:r w:rsidRPr="00E867EB">
                <w:rPr>
                  <w:rStyle w:val="Hyperlink"/>
                </w:rPr>
                <w:t>Article 27</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16747C91" w14:textId="77777777" w:rsidR="00E867EB" w:rsidRPr="00E867EB" w:rsidRDefault="00E867EB" w:rsidP="00E867EB">
            <w:r w:rsidRPr="00E867EB">
              <w:t>Articles 6(2), 13, 26, 46; GDPR Art. 35</w:t>
            </w:r>
          </w:p>
        </w:tc>
      </w:tr>
      <w:tr w:rsidR="00E867EB" w:rsidRPr="00E867EB" w14:paraId="1906DAEF"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3A739E9D" w14:textId="77777777" w:rsidR="00E867EB" w:rsidRPr="00E867EB" w:rsidRDefault="00E867EB" w:rsidP="00E867EB">
            <w:r w:rsidRPr="00E867EB">
              <w:t>GPAI model obligations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0098BBCA" w14:textId="77777777" w:rsidR="00E867EB" w:rsidRPr="00E867EB" w:rsidRDefault="00E867EB" w:rsidP="00E867EB">
            <w:hyperlink r:id="rId164" w:tgtFrame="_blank" w:history="1">
              <w:r w:rsidRPr="00E867EB">
                <w:rPr>
                  <w:rStyle w:val="Hyperlink"/>
                </w:rPr>
                <w:t>Articles 51-55</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E68E42F" w14:textId="77777777" w:rsidR="00E867EB" w:rsidRPr="00E867EB" w:rsidRDefault="00E867EB" w:rsidP="00E867EB">
            <w:hyperlink r:id="rId165" w:tgtFrame="_blank" w:history="1">
              <w:r w:rsidRPr="00E867EB">
                <w:rPr>
                  <w:rStyle w:val="Hyperlink"/>
                </w:rPr>
                <w:t>Annex XI</w:t>
              </w:r>
            </w:hyperlink>
            <w:r w:rsidRPr="00E867EB">
              <w:t>, </w:t>
            </w:r>
            <w:hyperlink r:id="rId166" w:tgtFrame="_blank" w:history="1">
              <w:r w:rsidRPr="00E867EB">
                <w:rPr>
                  <w:rStyle w:val="Hyperlink"/>
                </w:rPr>
                <w:t>Annex XII</w:t>
              </w:r>
            </w:hyperlink>
            <w:r w:rsidRPr="00E867EB">
              <w:t>, </w:t>
            </w:r>
            <w:hyperlink r:id="rId167" w:tgtFrame="_blank" w:history="1">
              <w:r w:rsidRPr="00E867EB">
                <w:rPr>
                  <w:rStyle w:val="Hyperlink"/>
                </w:rPr>
                <w:t>Annex XIII</w:t>
              </w:r>
            </w:hyperlink>
            <w:r w:rsidRPr="00E867EB">
              <w:t>, Article 56</w:t>
            </w:r>
          </w:p>
        </w:tc>
      </w:tr>
      <w:tr w:rsidR="00E867EB" w:rsidRPr="00E867EB" w14:paraId="05E9ECB2"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3709CB95" w14:textId="77777777" w:rsidR="00E867EB" w:rsidRPr="00E867EB" w:rsidRDefault="00E867EB" w:rsidP="00E867EB">
            <w:r w:rsidRPr="00E867EB">
              <w:lastRenderedPageBreak/>
              <w:t>Penalties and enforcement</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0DD3D4EB" w14:textId="77777777" w:rsidR="00E867EB" w:rsidRPr="00E867EB" w:rsidRDefault="00E867EB" w:rsidP="00E867EB">
            <w:hyperlink r:id="rId168" w:tgtFrame="_blank" w:history="1">
              <w:r w:rsidRPr="00E867EB">
                <w:rPr>
                  <w:rStyle w:val="Hyperlink"/>
                </w:rPr>
                <w:t>Articles 99-101</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129C0148" w14:textId="77777777" w:rsidR="00E867EB" w:rsidRPr="00E867EB" w:rsidRDefault="00E867EB" w:rsidP="00E867EB">
            <w:r w:rsidRPr="00E867EB">
              <w:t>Articles 74-78, 79-81, 85-86</w:t>
            </w:r>
          </w:p>
        </w:tc>
      </w:tr>
      <w:tr w:rsidR="00E867EB" w:rsidRPr="00E867EB" w14:paraId="1DE77AA1"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A2A0B5A" w14:textId="77777777" w:rsidR="00E867EB" w:rsidRPr="00E867EB" w:rsidRDefault="00E867EB" w:rsidP="00E867EB">
            <w:r w:rsidRPr="00E867EB">
              <w:t>Real-time biometric identification</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3A027FB8" w14:textId="77777777" w:rsidR="00E867EB" w:rsidRPr="00E867EB" w:rsidRDefault="00E867EB" w:rsidP="00E867EB">
            <w:hyperlink r:id="rId169" w:tgtFrame="_blank" w:history="1">
              <w:r w:rsidRPr="00E867EB">
                <w:rPr>
                  <w:rStyle w:val="Hyperlink"/>
                </w:rPr>
                <w:t>Article 5(1)(h), 5(2-7)</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0CEA91C9" w14:textId="77777777" w:rsidR="00E867EB" w:rsidRPr="00E867EB" w:rsidRDefault="00E867EB" w:rsidP="00E867EB">
            <w:r w:rsidRPr="00E867EB">
              <w:t>Article 14(5), </w:t>
            </w:r>
            <w:hyperlink r:id="rId170" w:tgtFrame="_blank" w:history="1">
              <w:r w:rsidRPr="00E867EB">
                <w:rPr>
                  <w:rStyle w:val="Hyperlink"/>
                </w:rPr>
                <w:t>Annex II</w:t>
              </w:r>
            </w:hyperlink>
            <w:r w:rsidRPr="00E867EB">
              <w:t>, Annex III point 1</w:t>
            </w:r>
          </w:p>
        </w:tc>
      </w:tr>
      <w:tr w:rsidR="00E867EB" w:rsidRPr="00E867EB" w14:paraId="1728CF66"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4582537" w14:textId="77777777" w:rsidR="00E867EB" w:rsidRPr="00E867EB" w:rsidRDefault="00E867EB" w:rsidP="00E867EB">
            <w:r w:rsidRPr="00E867EB">
              <w:t>Regulatory sandboxes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49887B2" w14:textId="77777777" w:rsidR="00E867EB" w:rsidRPr="00E867EB" w:rsidRDefault="00E867EB" w:rsidP="00E867EB">
            <w:hyperlink r:id="rId171" w:tgtFrame="_blank" w:history="1">
              <w:r w:rsidRPr="00E867EB">
                <w:rPr>
                  <w:rStyle w:val="Hyperlink"/>
                </w:rPr>
                <w:t>Articles 57-62</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A9A93E6" w14:textId="77777777" w:rsidR="00E867EB" w:rsidRPr="00E867EB" w:rsidRDefault="00E867EB" w:rsidP="00E867EB">
            <w:r w:rsidRPr="00E867EB">
              <w:t>Article 59 (personal data)</w:t>
            </w:r>
          </w:p>
        </w:tc>
      </w:tr>
      <w:tr w:rsidR="00E867EB" w:rsidRPr="00E867EB" w14:paraId="1B5E62D8"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13A944D0" w14:textId="77777777" w:rsidR="00E867EB" w:rsidRPr="00E867EB" w:rsidRDefault="00E867EB" w:rsidP="00E867EB">
            <w:r w:rsidRPr="00E867EB">
              <w:t>Serious incident reporting</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5FC1A159" w14:textId="77777777" w:rsidR="00E867EB" w:rsidRPr="00E867EB" w:rsidRDefault="00E867EB" w:rsidP="00E867EB">
            <w:hyperlink r:id="rId172" w:tgtFrame="_blank" w:history="1">
              <w:r w:rsidRPr="00E867EB">
                <w:rPr>
                  <w:rStyle w:val="Hyperlink"/>
                </w:rPr>
                <w:t>Article 73</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2257BF9B" w14:textId="77777777" w:rsidR="00E867EB" w:rsidRPr="00E867EB" w:rsidRDefault="00E867EB" w:rsidP="00E867EB">
            <w:r w:rsidRPr="00E867EB">
              <w:t>Articles 3(49), 20, 26(5), 72</w:t>
            </w:r>
          </w:p>
        </w:tc>
      </w:tr>
      <w:tr w:rsidR="00E867EB" w:rsidRPr="00E867EB" w14:paraId="7DDFE1CB"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0F02C187" w14:textId="77777777" w:rsidR="00E867EB" w:rsidRPr="00E867EB" w:rsidRDefault="00E867EB" w:rsidP="00E867EB">
            <w:r w:rsidRPr="00E867EB">
              <w:t>GDPR intersection (bias data)</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7C70F56" w14:textId="77777777" w:rsidR="00E867EB" w:rsidRPr="00E867EB" w:rsidRDefault="00E867EB" w:rsidP="00E867EB">
            <w:hyperlink r:id="rId173" w:tgtFrame="_blank" w:history="1">
              <w:r w:rsidRPr="00E867EB">
                <w:rPr>
                  <w:rStyle w:val="Hyperlink"/>
                </w:rPr>
                <w:t>Article 10(5)</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2AA45865" w14:textId="77777777" w:rsidR="00E867EB" w:rsidRPr="00E867EB" w:rsidRDefault="00E867EB" w:rsidP="00E867EB">
            <w:r w:rsidRPr="00E867EB">
              <w:t>GDPR Art. 9, 35; Article 10(2)(f)</w:t>
            </w:r>
          </w:p>
        </w:tc>
      </w:tr>
      <w:tr w:rsidR="00E867EB" w:rsidRPr="00E867EB" w14:paraId="1B7B57A2"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10E6376A" w14:textId="77777777" w:rsidR="00E867EB" w:rsidRPr="00E867EB" w:rsidRDefault="00E867EB" w:rsidP="00E867EB">
            <w:r w:rsidRPr="00E867EB">
              <w:t>Value chain responsibilities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AE88AFD" w14:textId="77777777" w:rsidR="00E867EB" w:rsidRPr="00E867EB" w:rsidRDefault="00E867EB" w:rsidP="00E867EB">
            <w:hyperlink r:id="rId174" w:tgtFrame="_blank" w:history="1">
              <w:r w:rsidRPr="00E867EB">
                <w:rPr>
                  <w:rStyle w:val="Hyperlink"/>
                </w:rPr>
                <w:t>Article 25</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628EF90" w14:textId="77777777" w:rsidR="00E867EB" w:rsidRPr="00E867EB" w:rsidRDefault="00E867EB" w:rsidP="00E867EB">
            <w:r w:rsidRPr="00E867EB">
              <w:t>Articles 2, 3, 16, 23, 24, 26</w:t>
            </w:r>
          </w:p>
        </w:tc>
      </w:tr>
      <w:tr w:rsidR="00E867EB" w:rsidRPr="00E867EB" w14:paraId="4F53E371" w14:textId="77777777">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65DDA01D" w14:textId="77777777" w:rsidR="00E867EB" w:rsidRPr="00E867EB" w:rsidRDefault="00E867EB" w:rsidP="00E867EB">
            <w:r w:rsidRPr="00E867EB">
              <w:t>Substantial modification</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02547692" w14:textId="77777777" w:rsidR="00E867EB" w:rsidRPr="00E867EB" w:rsidRDefault="00E867EB" w:rsidP="00E867EB">
            <w:hyperlink r:id="rId175" w:tgtFrame="_blank" w:history="1">
              <w:r w:rsidRPr="00E867EB">
                <w:rPr>
                  <w:rStyle w:val="Hyperlink"/>
                </w:rPr>
                <w:t>Article 43(4)</w:t>
              </w:r>
            </w:hyperlink>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05" w:type="dxa"/>
              <w:left w:w="105" w:type="dxa"/>
              <w:bottom w:w="105" w:type="dxa"/>
              <w:right w:w="105" w:type="dxa"/>
            </w:tcMar>
            <w:vAlign w:val="center"/>
            <w:hideMark/>
          </w:tcPr>
          <w:p w14:paraId="7D556014" w14:textId="77777777" w:rsidR="00E867EB" w:rsidRPr="00E867EB" w:rsidRDefault="00E867EB" w:rsidP="00E867EB">
            <w:r w:rsidRPr="00E867EB">
              <w:t>Article 3(12), Annex IV point 2(f)</w:t>
            </w:r>
          </w:p>
        </w:tc>
      </w:tr>
    </w:tbl>
    <w:p w14:paraId="6049407D" w14:textId="77777777" w:rsidR="00E867EB" w:rsidRPr="00E867EB" w:rsidRDefault="00E867EB" w:rsidP="00E867EB">
      <w:r w:rsidRPr="00E867EB">
        <w:pict w14:anchorId="3AD575D6">
          <v:rect id="_x0000_i1108" style="width:0;height:.75pt" o:hralign="center" o:hrstd="t" o:hr="t" fillcolor="#a0a0a0" stroked="f"/>
        </w:pict>
      </w:r>
    </w:p>
    <w:p w14:paraId="753BDE76" w14:textId="77777777" w:rsidR="00E867EB" w:rsidRPr="00E867EB" w:rsidRDefault="00E867EB" w:rsidP="00E867EB">
      <w:pPr>
        <w:rPr>
          <w:b/>
          <w:bCs/>
        </w:rPr>
      </w:pPr>
      <w:r w:rsidRPr="00E867EB">
        <w:rPr>
          <w:b/>
          <w:bCs/>
        </w:rPr>
        <w:t>Sources and Official References</w:t>
      </w:r>
    </w:p>
    <w:p w14:paraId="14D25A05" w14:textId="77777777" w:rsidR="00E867EB" w:rsidRPr="00E867EB" w:rsidRDefault="00E867EB" w:rsidP="00E867EB">
      <w:pPr>
        <w:numPr>
          <w:ilvl w:val="0"/>
          <w:numId w:val="31"/>
        </w:numPr>
      </w:pPr>
      <w:hyperlink r:id="rId176" w:tgtFrame="_blank" w:history="1">
        <w:r w:rsidRPr="00E867EB">
          <w:rPr>
            <w:rStyle w:val="Hyperlink"/>
          </w:rPr>
          <w:t>EU AI Act full text (EUR-Lex)</w:t>
        </w:r>
      </w:hyperlink>
    </w:p>
    <w:p w14:paraId="64D41CC0" w14:textId="77777777" w:rsidR="00E867EB" w:rsidRPr="00E867EB" w:rsidRDefault="00E867EB" w:rsidP="00E867EB">
      <w:pPr>
        <w:numPr>
          <w:ilvl w:val="0"/>
          <w:numId w:val="31"/>
        </w:numPr>
      </w:pPr>
      <w:hyperlink r:id="rId177" w:tgtFrame="_blank" w:history="1">
        <w:r w:rsidRPr="00E867EB">
          <w:rPr>
            <w:rStyle w:val="Hyperlink"/>
          </w:rPr>
          <w:t>AI Act article-by-article reference (Future of Life Institute)</w:t>
        </w:r>
      </w:hyperlink>
    </w:p>
    <w:p w14:paraId="385FCEA9" w14:textId="77777777" w:rsidR="00E867EB" w:rsidRPr="00E867EB" w:rsidRDefault="00E867EB" w:rsidP="00E867EB">
      <w:pPr>
        <w:numPr>
          <w:ilvl w:val="0"/>
          <w:numId w:val="31"/>
        </w:numPr>
      </w:pPr>
      <w:hyperlink r:id="rId178" w:tgtFrame="_blank" w:history="1">
        <w:r w:rsidRPr="00E867EB">
          <w:rPr>
            <w:rStyle w:val="Hyperlink"/>
          </w:rPr>
          <w:t>AI Act Service Desk (European Commission)</w:t>
        </w:r>
      </w:hyperlink>
    </w:p>
    <w:p w14:paraId="4E880C39" w14:textId="77777777" w:rsidR="00E867EB" w:rsidRPr="00E867EB" w:rsidRDefault="00E867EB" w:rsidP="00E867EB">
      <w:pPr>
        <w:numPr>
          <w:ilvl w:val="0"/>
          <w:numId w:val="31"/>
        </w:numPr>
      </w:pPr>
      <w:hyperlink r:id="rId179" w:tgtFrame="_blank" w:history="1">
        <w:r w:rsidRPr="00E867EB">
          <w:rPr>
            <w:rStyle w:val="Hyperlink"/>
          </w:rPr>
          <w:t>NIST AI Risk Management Framework</w:t>
        </w:r>
      </w:hyperlink>
    </w:p>
    <w:p w14:paraId="5449D6F3" w14:textId="77777777" w:rsidR="00E867EB" w:rsidRPr="00E867EB" w:rsidRDefault="00E867EB" w:rsidP="00E867EB">
      <w:pPr>
        <w:numPr>
          <w:ilvl w:val="0"/>
          <w:numId w:val="31"/>
        </w:numPr>
      </w:pPr>
      <w:hyperlink r:id="rId180" w:tgtFrame="_blank" w:history="1">
        <w:r w:rsidRPr="00E867EB">
          <w:rPr>
            <w:rStyle w:val="Hyperlink"/>
          </w:rPr>
          <w:t>ISO/IEC 42001:2023 (AI Management System Standard)</w:t>
        </w:r>
      </w:hyperlink>
    </w:p>
    <w:p w14:paraId="70AC192F" w14:textId="77777777" w:rsidR="00E867EB" w:rsidRDefault="00E867EB"/>
    <w:sectPr w:rsidR="00E867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24169"/>
    <w:multiLevelType w:val="multilevel"/>
    <w:tmpl w:val="5770E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3A1AD2"/>
    <w:multiLevelType w:val="multilevel"/>
    <w:tmpl w:val="3D4AC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F70BC1"/>
    <w:multiLevelType w:val="multilevel"/>
    <w:tmpl w:val="4C941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E0738F7"/>
    <w:multiLevelType w:val="multilevel"/>
    <w:tmpl w:val="4962B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BC2E4C"/>
    <w:multiLevelType w:val="multilevel"/>
    <w:tmpl w:val="C712B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904DDF"/>
    <w:multiLevelType w:val="multilevel"/>
    <w:tmpl w:val="57BC2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4E4379"/>
    <w:multiLevelType w:val="multilevel"/>
    <w:tmpl w:val="78FE4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F24BBD"/>
    <w:multiLevelType w:val="multilevel"/>
    <w:tmpl w:val="9EAA6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516EC5"/>
    <w:multiLevelType w:val="multilevel"/>
    <w:tmpl w:val="765C3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06148E0"/>
    <w:multiLevelType w:val="multilevel"/>
    <w:tmpl w:val="F4504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2BD3C4D"/>
    <w:multiLevelType w:val="multilevel"/>
    <w:tmpl w:val="2BA48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895E6F"/>
    <w:multiLevelType w:val="multilevel"/>
    <w:tmpl w:val="3094E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0A2459F"/>
    <w:multiLevelType w:val="multilevel"/>
    <w:tmpl w:val="5B565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3678F2"/>
    <w:multiLevelType w:val="multilevel"/>
    <w:tmpl w:val="3E90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6B1335F"/>
    <w:multiLevelType w:val="multilevel"/>
    <w:tmpl w:val="00C85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0B857AF"/>
    <w:multiLevelType w:val="multilevel"/>
    <w:tmpl w:val="14CAD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4FE6AEE"/>
    <w:multiLevelType w:val="multilevel"/>
    <w:tmpl w:val="EF4E3E7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F52243"/>
    <w:multiLevelType w:val="multilevel"/>
    <w:tmpl w:val="30F8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16D5CDF"/>
    <w:multiLevelType w:val="multilevel"/>
    <w:tmpl w:val="23BE7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46A0410"/>
    <w:multiLevelType w:val="multilevel"/>
    <w:tmpl w:val="023E5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7417B00"/>
    <w:multiLevelType w:val="multilevel"/>
    <w:tmpl w:val="08341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7514BA1"/>
    <w:multiLevelType w:val="multilevel"/>
    <w:tmpl w:val="4EAC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A550C43"/>
    <w:multiLevelType w:val="multilevel"/>
    <w:tmpl w:val="39C2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ACE245C"/>
    <w:multiLevelType w:val="multilevel"/>
    <w:tmpl w:val="20108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E631164"/>
    <w:multiLevelType w:val="multilevel"/>
    <w:tmpl w:val="A6BCE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392000B"/>
    <w:multiLevelType w:val="multilevel"/>
    <w:tmpl w:val="C5B2F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5823AFC"/>
    <w:multiLevelType w:val="multilevel"/>
    <w:tmpl w:val="0E60B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6FC77A5"/>
    <w:multiLevelType w:val="multilevel"/>
    <w:tmpl w:val="85C08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77045F9"/>
    <w:multiLevelType w:val="multilevel"/>
    <w:tmpl w:val="4EEC4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DDE7907"/>
    <w:multiLevelType w:val="multilevel"/>
    <w:tmpl w:val="9E884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F2050A9"/>
    <w:multiLevelType w:val="multilevel"/>
    <w:tmpl w:val="5AE46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3479760">
    <w:abstractNumId w:val="5"/>
  </w:num>
  <w:num w:numId="2" w16cid:durableId="1643584616">
    <w:abstractNumId w:val="18"/>
  </w:num>
  <w:num w:numId="3" w16cid:durableId="1530223850">
    <w:abstractNumId w:val="29"/>
  </w:num>
  <w:num w:numId="4" w16cid:durableId="1535658395">
    <w:abstractNumId w:val="16"/>
  </w:num>
  <w:num w:numId="5" w16cid:durableId="1173060114">
    <w:abstractNumId w:val="26"/>
  </w:num>
  <w:num w:numId="6" w16cid:durableId="1253665601">
    <w:abstractNumId w:val="20"/>
  </w:num>
  <w:num w:numId="7" w16cid:durableId="521210271">
    <w:abstractNumId w:val="25"/>
  </w:num>
  <w:num w:numId="8" w16cid:durableId="846135739">
    <w:abstractNumId w:val="14"/>
  </w:num>
  <w:num w:numId="9" w16cid:durableId="916476929">
    <w:abstractNumId w:val="3"/>
  </w:num>
  <w:num w:numId="10" w16cid:durableId="1460150656">
    <w:abstractNumId w:val="22"/>
  </w:num>
  <w:num w:numId="11" w16cid:durableId="742457518">
    <w:abstractNumId w:val="17"/>
  </w:num>
  <w:num w:numId="12" w16cid:durableId="705254485">
    <w:abstractNumId w:val="15"/>
  </w:num>
  <w:num w:numId="13" w16cid:durableId="282156587">
    <w:abstractNumId w:val="1"/>
  </w:num>
  <w:num w:numId="14" w16cid:durableId="353727716">
    <w:abstractNumId w:val="23"/>
  </w:num>
  <w:num w:numId="15" w16cid:durableId="1164466169">
    <w:abstractNumId w:val="9"/>
  </w:num>
  <w:num w:numId="16" w16cid:durableId="976687218">
    <w:abstractNumId w:val="12"/>
  </w:num>
  <w:num w:numId="17" w16cid:durableId="1896814902">
    <w:abstractNumId w:val="0"/>
  </w:num>
  <w:num w:numId="18" w16cid:durableId="1473333408">
    <w:abstractNumId w:val="24"/>
  </w:num>
  <w:num w:numId="19" w16cid:durableId="2073691208">
    <w:abstractNumId w:val="27"/>
  </w:num>
  <w:num w:numId="20" w16cid:durableId="392656291">
    <w:abstractNumId w:val="28"/>
  </w:num>
  <w:num w:numId="21" w16cid:durableId="912617029">
    <w:abstractNumId w:val="13"/>
  </w:num>
  <w:num w:numId="22" w16cid:durableId="1300720911">
    <w:abstractNumId w:val="8"/>
  </w:num>
  <w:num w:numId="23" w16cid:durableId="2037079944">
    <w:abstractNumId w:val="11"/>
  </w:num>
  <w:num w:numId="24" w16cid:durableId="365107962">
    <w:abstractNumId w:val="10"/>
  </w:num>
  <w:num w:numId="25" w16cid:durableId="1875266348">
    <w:abstractNumId w:val="7"/>
  </w:num>
  <w:num w:numId="26" w16cid:durableId="657005199">
    <w:abstractNumId w:val="2"/>
  </w:num>
  <w:num w:numId="27" w16cid:durableId="1936479124">
    <w:abstractNumId w:val="6"/>
  </w:num>
  <w:num w:numId="28" w16cid:durableId="284821266">
    <w:abstractNumId w:val="4"/>
  </w:num>
  <w:num w:numId="29" w16cid:durableId="1663511526">
    <w:abstractNumId w:val="30"/>
  </w:num>
  <w:num w:numId="30" w16cid:durableId="942032194">
    <w:abstractNumId w:val="19"/>
  </w:num>
  <w:num w:numId="31" w16cid:durableId="125359190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7EB"/>
    <w:rsid w:val="00223987"/>
    <w:rsid w:val="00E86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A6ADE"/>
  <w15:chartTrackingRefBased/>
  <w15:docId w15:val="{9B29EBCD-6ADF-4031-B880-A541BCA03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67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67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67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7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7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7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7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7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7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7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67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67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7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7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7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7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7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7EB"/>
    <w:rPr>
      <w:rFonts w:eastAsiaTheme="majorEastAsia" w:cstheme="majorBidi"/>
      <w:color w:val="272727" w:themeColor="text1" w:themeTint="D8"/>
    </w:rPr>
  </w:style>
  <w:style w:type="paragraph" w:styleId="Title">
    <w:name w:val="Title"/>
    <w:basedOn w:val="Normal"/>
    <w:next w:val="Normal"/>
    <w:link w:val="TitleChar"/>
    <w:uiPriority w:val="10"/>
    <w:qFormat/>
    <w:rsid w:val="00E867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7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7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7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7EB"/>
    <w:pPr>
      <w:spacing w:before="160"/>
      <w:jc w:val="center"/>
    </w:pPr>
    <w:rPr>
      <w:i/>
      <w:iCs/>
      <w:color w:val="404040" w:themeColor="text1" w:themeTint="BF"/>
    </w:rPr>
  </w:style>
  <w:style w:type="character" w:customStyle="1" w:styleId="QuoteChar">
    <w:name w:val="Quote Char"/>
    <w:basedOn w:val="DefaultParagraphFont"/>
    <w:link w:val="Quote"/>
    <w:uiPriority w:val="29"/>
    <w:rsid w:val="00E867EB"/>
    <w:rPr>
      <w:i/>
      <w:iCs/>
      <w:color w:val="404040" w:themeColor="text1" w:themeTint="BF"/>
    </w:rPr>
  </w:style>
  <w:style w:type="paragraph" w:styleId="ListParagraph">
    <w:name w:val="List Paragraph"/>
    <w:basedOn w:val="Normal"/>
    <w:uiPriority w:val="34"/>
    <w:qFormat/>
    <w:rsid w:val="00E867EB"/>
    <w:pPr>
      <w:ind w:left="720"/>
      <w:contextualSpacing/>
    </w:pPr>
  </w:style>
  <w:style w:type="character" w:styleId="IntenseEmphasis">
    <w:name w:val="Intense Emphasis"/>
    <w:basedOn w:val="DefaultParagraphFont"/>
    <w:uiPriority w:val="21"/>
    <w:qFormat/>
    <w:rsid w:val="00E867EB"/>
    <w:rPr>
      <w:i/>
      <w:iCs/>
      <w:color w:val="0F4761" w:themeColor="accent1" w:themeShade="BF"/>
    </w:rPr>
  </w:style>
  <w:style w:type="paragraph" w:styleId="IntenseQuote">
    <w:name w:val="Intense Quote"/>
    <w:basedOn w:val="Normal"/>
    <w:next w:val="Normal"/>
    <w:link w:val="IntenseQuoteChar"/>
    <w:uiPriority w:val="30"/>
    <w:qFormat/>
    <w:rsid w:val="00E867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7EB"/>
    <w:rPr>
      <w:i/>
      <w:iCs/>
      <w:color w:val="0F4761" w:themeColor="accent1" w:themeShade="BF"/>
    </w:rPr>
  </w:style>
  <w:style w:type="character" w:styleId="IntenseReference">
    <w:name w:val="Intense Reference"/>
    <w:basedOn w:val="DefaultParagraphFont"/>
    <w:uiPriority w:val="32"/>
    <w:qFormat/>
    <w:rsid w:val="00E867EB"/>
    <w:rPr>
      <w:b/>
      <w:bCs/>
      <w:smallCaps/>
      <w:color w:val="0F4761" w:themeColor="accent1" w:themeShade="BF"/>
      <w:spacing w:val="5"/>
    </w:rPr>
  </w:style>
  <w:style w:type="paragraph" w:customStyle="1" w:styleId="msonormal0">
    <w:name w:val="msonormal"/>
    <w:basedOn w:val="Normal"/>
    <w:rsid w:val="00E867E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E867E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867EB"/>
    <w:rPr>
      <w:b/>
      <w:bCs/>
    </w:rPr>
  </w:style>
  <w:style w:type="character" w:customStyle="1" w:styleId="elementor-menu-anchor">
    <w:name w:val="elementor-menu-anchor"/>
    <w:basedOn w:val="DefaultParagraphFont"/>
    <w:rsid w:val="00E867EB"/>
  </w:style>
  <w:style w:type="character" w:styleId="Hyperlink">
    <w:name w:val="Hyperlink"/>
    <w:basedOn w:val="DefaultParagraphFont"/>
    <w:uiPriority w:val="99"/>
    <w:unhideWhenUsed/>
    <w:rsid w:val="00E867EB"/>
    <w:rPr>
      <w:color w:val="0000FF"/>
      <w:u w:val="single"/>
    </w:rPr>
  </w:style>
  <w:style w:type="character" w:styleId="FollowedHyperlink">
    <w:name w:val="FollowedHyperlink"/>
    <w:basedOn w:val="DefaultParagraphFont"/>
    <w:uiPriority w:val="99"/>
    <w:semiHidden/>
    <w:unhideWhenUsed/>
    <w:rsid w:val="00E867EB"/>
    <w:rPr>
      <w:color w:val="800080"/>
      <w:u w:val="single"/>
    </w:rPr>
  </w:style>
  <w:style w:type="paragraph" w:customStyle="1" w:styleId="font-claude-response-body">
    <w:name w:val="font-claude-response-body"/>
    <w:basedOn w:val="Normal"/>
    <w:rsid w:val="00E867E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E867EB"/>
    <w:rPr>
      <w:i/>
      <w:iCs/>
    </w:rPr>
  </w:style>
  <w:style w:type="paragraph" w:customStyle="1" w:styleId="whitespace-normal">
    <w:name w:val="whitespace-normal"/>
    <w:basedOn w:val="Normal"/>
    <w:rsid w:val="00E867E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E867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artificialintelligenceact.eu/article/70/" TargetMode="External"/><Relationship Id="rId21" Type="http://schemas.openxmlformats.org/officeDocument/2006/relationships/hyperlink" Target="https://artificialintelligenceact.eu/article/17/" TargetMode="External"/><Relationship Id="rId42" Type="http://schemas.openxmlformats.org/officeDocument/2006/relationships/hyperlink" Target="https://artificialintelligenceact.eu/annex/3/" TargetMode="External"/><Relationship Id="rId63" Type="http://schemas.openxmlformats.org/officeDocument/2006/relationships/hyperlink" Target="https://artificialintelligenceact.eu/article/17/" TargetMode="External"/><Relationship Id="rId84" Type="http://schemas.openxmlformats.org/officeDocument/2006/relationships/hyperlink" Target="https://artificialintelligenceact.eu/article/3/" TargetMode="External"/><Relationship Id="rId138" Type="http://schemas.openxmlformats.org/officeDocument/2006/relationships/hyperlink" Target="https://artificialintelligenceact.eu/annex/3/" TargetMode="External"/><Relationship Id="rId159" Type="http://schemas.openxmlformats.org/officeDocument/2006/relationships/hyperlink" Target="https://artificialintelligenceact.eu/annex/6/" TargetMode="External"/><Relationship Id="rId170" Type="http://schemas.openxmlformats.org/officeDocument/2006/relationships/hyperlink" Target="https://artificialintelligenceact.eu/annex/2/" TargetMode="External"/><Relationship Id="rId107" Type="http://schemas.openxmlformats.org/officeDocument/2006/relationships/hyperlink" Target="https://artificialintelligenceact.eu/annex/11/" TargetMode="External"/><Relationship Id="rId11" Type="http://schemas.openxmlformats.org/officeDocument/2006/relationships/hyperlink" Target="https://artificialintelligenceact.eu/article/43/" TargetMode="External"/><Relationship Id="rId32" Type="http://schemas.openxmlformats.org/officeDocument/2006/relationships/hyperlink" Target="https://artificialintelligenceact.eu/article/49/" TargetMode="External"/><Relationship Id="rId53" Type="http://schemas.openxmlformats.org/officeDocument/2006/relationships/hyperlink" Target="https://eur-lex.europa.eu/eli/reg/2016/679/oj" TargetMode="External"/><Relationship Id="rId74" Type="http://schemas.openxmlformats.org/officeDocument/2006/relationships/hyperlink" Target="https://artificialintelligenceact.eu/article/10/" TargetMode="External"/><Relationship Id="rId128" Type="http://schemas.openxmlformats.org/officeDocument/2006/relationships/hyperlink" Target="https://artificialintelligenceact.eu/article/85/" TargetMode="External"/><Relationship Id="rId149" Type="http://schemas.openxmlformats.org/officeDocument/2006/relationships/hyperlink" Target="https://artificialintelligenceact.eu/article/57/" TargetMode="External"/><Relationship Id="rId5" Type="http://schemas.openxmlformats.org/officeDocument/2006/relationships/hyperlink" Target="https://artificialintelligenceact.eu/article/43/" TargetMode="External"/><Relationship Id="rId95" Type="http://schemas.openxmlformats.org/officeDocument/2006/relationships/hyperlink" Target="https://artificialintelligenceact.eu/annex/4/" TargetMode="External"/><Relationship Id="rId160" Type="http://schemas.openxmlformats.org/officeDocument/2006/relationships/hyperlink" Target="https://artificialintelligenceact.eu/annex/7/" TargetMode="External"/><Relationship Id="rId181" Type="http://schemas.openxmlformats.org/officeDocument/2006/relationships/fontTable" Target="fontTable.xml"/><Relationship Id="rId22" Type="http://schemas.openxmlformats.org/officeDocument/2006/relationships/hyperlink" Target="https://artificialintelligenceact.eu/article/9/" TargetMode="External"/><Relationship Id="rId43" Type="http://schemas.openxmlformats.org/officeDocument/2006/relationships/hyperlink" Target="https://artificialintelligenceact.eu/annex/3/" TargetMode="External"/><Relationship Id="rId64" Type="http://schemas.openxmlformats.org/officeDocument/2006/relationships/hyperlink" Target="https://artificialintelligenceact.eu/article/4/" TargetMode="External"/><Relationship Id="rId118" Type="http://schemas.openxmlformats.org/officeDocument/2006/relationships/hyperlink" Target="https://artificialintelligenceact.eu/article/74/" TargetMode="External"/><Relationship Id="rId139" Type="http://schemas.openxmlformats.org/officeDocument/2006/relationships/hyperlink" Target="https://artificialintelligenceact.eu/article/5/" TargetMode="External"/><Relationship Id="rId85" Type="http://schemas.openxmlformats.org/officeDocument/2006/relationships/hyperlink" Target="https://artificialintelligenceact.eu/annex/4/" TargetMode="External"/><Relationship Id="rId150" Type="http://schemas.openxmlformats.org/officeDocument/2006/relationships/hyperlink" Target="https://artificialintelligenceact.eu/article/57/" TargetMode="External"/><Relationship Id="rId171" Type="http://schemas.openxmlformats.org/officeDocument/2006/relationships/hyperlink" Target="https://artificialintelligenceact.eu/article/57/" TargetMode="External"/><Relationship Id="rId12" Type="http://schemas.openxmlformats.org/officeDocument/2006/relationships/hyperlink" Target="https://artificialintelligenceact.eu/article/43/" TargetMode="External"/><Relationship Id="rId33" Type="http://schemas.openxmlformats.org/officeDocument/2006/relationships/hyperlink" Target="https://artificialintelligenceact.eu/annex/7/" TargetMode="External"/><Relationship Id="rId108" Type="http://schemas.openxmlformats.org/officeDocument/2006/relationships/hyperlink" Target="https://artificialintelligenceact.eu/annex/12/" TargetMode="External"/><Relationship Id="rId129" Type="http://schemas.openxmlformats.org/officeDocument/2006/relationships/hyperlink" Target="https://artificialintelligenceact.eu/article/5/" TargetMode="External"/><Relationship Id="rId54" Type="http://schemas.openxmlformats.org/officeDocument/2006/relationships/hyperlink" Target="https://eur-lex.europa.eu/eli/dir/2016/680/oj" TargetMode="External"/><Relationship Id="rId75" Type="http://schemas.openxmlformats.org/officeDocument/2006/relationships/hyperlink" Target="https://artificialintelligenceact.eu/article/43/" TargetMode="External"/><Relationship Id="rId96" Type="http://schemas.openxmlformats.org/officeDocument/2006/relationships/hyperlink" Target="https://artificialintelligenceact.eu/article/15/" TargetMode="External"/><Relationship Id="rId140" Type="http://schemas.openxmlformats.org/officeDocument/2006/relationships/hyperlink" Target="https://artificialintelligenceact.eu/article/49/" TargetMode="External"/><Relationship Id="rId161" Type="http://schemas.openxmlformats.org/officeDocument/2006/relationships/hyperlink" Target="https://artificialintelligenceact.eu/article/11/" TargetMode="External"/><Relationship Id="rId182" Type="http://schemas.openxmlformats.org/officeDocument/2006/relationships/theme" Target="theme/theme1.xml"/><Relationship Id="rId6" Type="http://schemas.openxmlformats.org/officeDocument/2006/relationships/hyperlink" Target="https://artificialintelligenceact.eu/article/43/" TargetMode="External"/><Relationship Id="rId23" Type="http://schemas.openxmlformats.org/officeDocument/2006/relationships/hyperlink" Target="https://artificialintelligenceact.eu/article/10/" TargetMode="External"/><Relationship Id="rId119" Type="http://schemas.openxmlformats.org/officeDocument/2006/relationships/hyperlink" Target="https://artificialintelligenceact.eu/article/12/" TargetMode="External"/><Relationship Id="rId44" Type="http://schemas.openxmlformats.org/officeDocument/2006/relationships/hyperlink" Target="https://artificialintelligenceact.eu/article/27/" TargetMode="External"/><Relationship Id="rId60" Type="http://schemas.openxmlformats.org/officeDocument/2006/relationships/hyperlink" Target="https://artificialintelligenceact.eu/annex/1/" TargetMode="External"/><Relationship Id="rId65" Type="http://schemas.openxmlformats.org/officeDocument/2006/relationships/hyperlink" Target="https://artificialintelligenceact.eu/article/9/" TargetMode="External"/><Relationship Id="rId81" Type="http://schemas.openxmlformats.org/officeDocument/2006/relationships/hyperlink" Target="https://artificialintelligenceact.eu/article/73/" TargetMode="External"/><Relationship Id="rId86" Type="http://schemas.openxmlformats.org/officeDocument/2006/relationships/hyperlink" Target="https://artificialintelligenceact.eu/article/43/" TargetMode="External"/><Relationship Id="rId130" Type="http://schemas.openxmlformats.org/officeDocument/2006/relationships/hyperlink" Target="https://artificialintelligenceact.eu/article/5/" TargetMode="External"/><Relationship Id="rId135" Type="http://schemas.openxmlformats.org/officeDocument/2006/relationships/hyperlink" Target="https://artificialintelligenceact.eu/article/5/" TargetMode="External"/><Relationship Id="rId151" Type="http://schemas.openxmlformats.org/officeDocument/2006/relationships/hyperlink" Target="https://artificialintelligenceact.eu/article/73/" TargetMode="External"/><Relationship Id="rId156" Type="http://schemas.openxmlformats.org/officeDocument/2006/relationships/hyperlink" Target="https://artificialintelligenceact.eu/article/20/" TargetMode="External"/><Relationship Id="rId177" Type="http://schemas.openxmlformats.org/officeDocument/2006/relationships/hyperlink" Target="https://artificialintelligenceact.eu/" TargetMode="External"/><Relationship Id="rId172" Type="http://schemas.openxmlformats.org/officeDocument/2006/relationships/hyperlink" Target="https://artificialintelligenceact.eu/article/73/" TargetMode="External"/><Relationship Id="rId13" Type="http://schemas.openxmlformats.org/officeDocument/2006/relationships/hyperlink" Target="https://artificialintelligenceact.eu/article/74/" TargetMode="External"/><Relationship Id="rId18" Type="http://schemas.openxmlformats.org/officeDocument/2006/relationships/hyperlink" Target="https://artificialintelligenceact.eu/article/31/" TargetMode="External"/><Relationship Id="rId39" Type="http://schemas.openxmlformats.org/officeDocument/2006/relationships/hyperlink" Target="https://artificialintelligenceact.eu/annex/7/" TargetMode="External"/><Relationship Id="rId109" Type="http://schemas.openxmlformats.org/officeDocument/2006/relationships/hyperlink" Target="https://eur-lex.europa.eu/eli/dir/2019/790/oj" TargetMode="External"/><Relationship Id="rId34" Type="http://schemas.openxmlformats.org/officeDocument/2006/relationships/hyperlink" Target="https://artificialintelligenceact.eu/article/17/" TargetMode="External"/><Relationship Id="rId50" Type="http://schemas.openxmlformats.org/officeDocument/2006/relationships/hyperlink" Target="https://artificialintelligenceact.eu/article/46/" TargetMode="External"/><Relationship Id="rId55" Type="http://schemas.openxmlformats.org/officeDocument/2006/relationships/hyperlink" Target="https://artificialintelligenceact.eu/article/26/" TargetMode="External"/><Relationship Id="rId76" Type="http://schemas.openxmlformats.org/officeDocument/2006/relationships/hyperlink" Target="https://artificialintelligenceact.eu/article/49/" TargetMode="External"/><Relationship Id="rId97" Type="http://schemas.openxmlformats.org/officeDocument/2006/relationships/hyperlink" Target="https://artificialintelligenceact.eu/article/10/" TargetMode="External"/><Relationship Id="rId104" Type="http://schemas.openxmlformats.org/officeDocument/2006/relationships/hyperlink" Target="https://artificialintelligenceact.eu/article/51/" TargetMode="External"/><Relationship Id="rId120" Type="http://schemas.openxmlformats.org/officeDocument/2006/relationships/hyperlink" Target="https://artificialintelligenceact.eu/article/79/" TargetMode="External"/><Relationship Id="rId125" Type="http://schemas.openxmlformats.org/officeDocument/2006/relationships/hyperlink" Target="https://artificialintelligenceact.eu/article/99/" TargetMode="External"/><Relationship Id="rId141" Type="http://schemas.openxmlformats.org/officeDocument/2006/relationships/hyperlink" Target="https://artificialintelligenceact.eu/article/5/" TargetMode="External"/><Relationship Id="rId146" Type="http://schemas.openxmlformats.org/officeDocument/2006/relationships/hyperlink" Target="https://artificialintelligenceact.eu/article/57/" TargetMode="External"/><Relationship Id="rId167" Type="http://schemas.openxmlformats.org/officeDocument/2006/relationships/hyperlink" Target="https://artificialintelligenceact.eu/annex/13/" TargetMode="External"/><Relationship Id="rId7" Type="http://schemas.openxmlformats.org/officeDocument/2006/relationships/hyperlink" Target="https://artificialintelligenceact.eu/annex/6/" TargetMode="External"/><Relationship Id="rId71" Type="http://schemas.openxmlformats.org/officeDocument/2006/relationships/hyperlink" Target="https://artificialintelligenceact.eu/article/20/" TargetMode="External"/><Relationship Id="rId92" Type="http://schemas.openxmlformats.org/officeDocument/2006/relationships/hyperlink" Target="https://artificialintelligenceact.eu/article/14/" TargetMode="External"/><Relationship Id="rId162" Type="http://schemas.openxmlformats.org/officeDocument/2006/relationships/hyperlink" Target="https://artificialintelligenceact.eu/annex/4/" TargetMode="External"/><Relationship Id="rId2" Type="http://schemas.openxmlformats.org/officeDocument/2006/relationships/styles" Target="styles.xml"/><Relationship Id="rId29" Type="http://schemas.openxmlformats.org/officeDocument/2006/relationships/hyperlink" Target="https://artificialintelligenceact.eu/article/72/" TargetMode="External"/><Relationship Id="rId24" Type="http://schemas.openxmlformats.org/officeDocument/2006/relationships/hyperlink" Target="https://artificialintelligenceact.eu/article/11/" TargetMode="External"/><Relationship Id="rId40" Type="http://schemas.openxmlformats.org/officeDocument/2006/relationships/hyperlink" Target="https://artificialintelligenceact.eu/article/27/" TargetMode="External"/><Relationship Id="rId45" Type="http://schemas.openxmlformats.org/officeDocument/2006/relationships/hyperlink" Target="https://artificialintelligenceact.eu/article/13/" TargetMode="External"/><Relationship Id="rId66" Type="http://schemas.openxmlformats.org/officeDocument/2006/relationships/hyperlink" Target="https://artificialintelligenceact.eu/article/6/" TargetMode="External"/><Relationship Id="rId87" Type="http://schemas.openxmlformats.org/officeDocument/2006/relationships/hyperlink" Target="https://artificialintelligenceact.eu/article/10/" TargetMode="External"/><Relationship Id="rId110" Type="http://schemas.openxmlformats.org/officeDocument/2006/relationships/hyperlink" Target="https://artificialintelligenceact.eu/article/25/" TargetMode="External"/><Relationship Id="rId115" Type="http://schemas.openxmlformats.org/officeDocument/2006/relationships/hyperlink" Target="https://artificialintelligenceact.eu/article/88/" TargetMode="External"/><Relationship Id="rId131" Type="http://schemas.openxmlformats.org/officeDocument/2006/relationships/hyperlink" Target="https://artificialintelligenceact.eu/article/5/" TargetMode="External"/><Relationship Id="rId136" Type="http://schemas.openxmlformats.org/officeDocument/2006/relationships/hyperlink" Target="https://artificialintelligenceact.eu/article/5/" TargetMode="External"/><Relationship Id="rId157" Type="http://schemas.openxmlformats.org/officeDocument/2006/relationships/hyperlink" Target="https://artificialintelligenceact.eu/article/12/" TargetMode="External"/><Relationship Id="rId178" Type="http://schemas.openxmlformats.org/officeDocument/2006/relationships/hyperlink" Target="https://ai-act-service-desk.ec.europa.eu/" TargetMode="External"/><Relationship Id="rId61" Type="http://schemas.openxmlformats.org/officeDocument/2006/relationships/hyperlink" Target="https://artificialintelligenceact.eu/article/31/" TargetMode="External"/><Relationship Id="rId82" Type="http://schemas.openxmlformats.org/officeDocument/2006/relationships/hyperlink" Target="https://artificialintelligenceact.eu/article/50/" TargetMode="External"/><Relationship Id="rId152" Type="http://schemas.openxmlformats.org/officeDocument/2006/relationships/hyperlink" Target="https://artificialintelligenceact.eu/article/3/" TargetMode="External"/><Relationship Id="rId173" Type="http://schemas.openxmlformats.org/officeDocument/2006/relationships/hyperlink" Target="https://artificialintelligenceact.eu/article/10/" TargetMode="External"/><Relationship Id="rId19" Type="http://schemas.openxmlformats.org/officeDocument/2006/relationships/hyperlink" Target="https://artificialintelligenceact.eu/article/43/" TargetMode="External"/><Relationship Id="rId14" Type="http://schemas.openxmlformats.org/officeDocument/2006/relationships/hyperlink" Target="https://artificialintelligenceact.eu/annex/6/" TargetMode="External"/><Relationship Id="rId30" Type="http://schemas.openxmlformats.org/officeDocument/2006/relationships/hyperlink" Target="https://artificialintelligenceact.eu/article/47/" TargetMode="External"/><Relationship Id="rId35" Type="http://schemas.openxmlformats.org/officeDocument/2006/relationships/hyperlink" Target="https://artificialintelligenceact.eu/annex/4/" TargetMode="External"/><Relationship Id="rId56" Type="http://schemas.openxmlformats.org/officeDocument/2006/relationships/hyperlink" Target="https://artificialintelligenceact.eu/article/10/" TargetMode="External"/><Relationship Id="rId77" Type="http://schemas.openxmlformats.org/officeDocument/2006/relationships/hyperlink" Target="https://artificialintelligenceact.eu/article/71/" TargetMode="External"/><Relationship Id="rId100" Type="http://schemas.openxmlformats.org/officeDocument/2006/relationships/hyperlink" Target="https://artificialintelligenceact.eu/article/51/" TargetMode="External"/><Relationship Id="rId105" Type="http://schemas.openxmlformats.org/officeDocument/2006/relationships/hyperlink" Target="https://artificialintelligenceact.eu/annex/13/" TargetMode="External"/><Relationship Id="rId126" Type="http://schemas.openxmlformats.org/officeDocument/2006/relationships/hyperlink" Target="https://artificialintelligenceact.eu/article/101/" TargetMode="External"/><Relationship Id="rId147" Type="http://schemas.openxmlformats.org/officeDocument/2006/relationships/hyperlink" Target="https://artificialintelligenceact.eu/article/59/" TargetMode="External"/><Relationship Id="rId168" Type="http://schemas.openxmlformats.org/officeDocument/2006/relationships/hyperlink" Target="https://artificialintelligenceact.eu/article/99/" TargetMode="External"/><Relationship Id="rId8" Type="http://schemas.openxmlformats.org/officeDocument/2006/relationships/hyperlink" Target="https://artificialintelligenceact.eu/article/40/" TargetMode="External"/><Relationship Id="rId51" Type="http://schemas.openxmlformats.org/officeDocument/2006/relationships/hyperlink" Target="https://artificialintelligenceact.eu/article/27/" TargetMode="External"/><Relationship Id="rId72" Type="http://schemas.openxmlformats.org/officeDocument/2006/relationships/hyperlink" Target="https://artificialintelligenceact.eu/article/17/" TargetMode="External"/><Relationship Id="rId93" Type="http://schemas.openxmlformats.org/officeDocument/2006/relationships/hyperlink" Target="https://artificialintelligenceact.eu/article/4/" TargetMode="External"/><Relationship Id="rId98" Type="http://schemas.openxmlformats.org/officeDocument/2006/relationships/hyperlink" Target="https://artificialintelligenceact.eu/article/15/" TargetMode="External"/><Relationship Id="rId121" Type="http://schemas.openxmlformats.org/officeDocument/2006/relationships/hyperlink" Target="https://artificialintelligenceact.eu/article/99/" TargetMode="External"/><Relationship Id="rId142" Type="http://schemas.openxmlformats.org/officeDocument/2006/relationships/hyperlink" Target="https://artificialintelligenceact.eu/article/5/" TargetMode="External"/><Relationship Id="rId163" Type="http://schemas.openxmlformats.org/officeDocument/2006/relationships/hyperlink" Target="https://artificialintelligenceact.eu/article/27/" TargetMode="External"/><Relationship Id="rId3" Type="http://schemas.openxmlformats.org/officeDocument/2006/relationships/settings" Target="settings.xml"/><Relationship Id="rId25" Type="http://schemas.openxmlformats.org/officeDocument/2006/relationships/hyperlink" Target="https://artificialintelligenceact.eu/article/12/" TargetMode="External"/><Relationship Id="rId46" Type="http://schemas.openxmlformats.org/officeDocument/2006/relationships/hyperlink" Target="https://artificialintelligenceact.eu/article/27/" TargetMode="External"/><Relationship Id="rId67" Type="http://schemas.openxmlformats.org/officeDocument/2006/relationships/hyperlink" Target="https://artificialintelligenceact.eu/article/9/" TargetMode="External"/><Relationship Id="rId116" Type="http://schemas.openxmlformats.org/officeDocument/2006/relationships/hyperlink" Target="https://artificialintelligenceact.eu/article/101/" TargetMode="External"/><Relationship Id="rId137" Type="http://schemas.openxmlformats.org/officeDocument/2006/relationships/hyperlink" Target="https://artificialintelligenceact.eu/article/14/" TargetMode="External"/><Relationship Id="rId158" Type="http://schemas.openxmlformats.org/officeDocument/2006/relationships/hyperlink" Target="https://artificialintelligenceact.eu/article/43/" TargetMode="External"/><Relationship Id="rId20" Type="http://schemas.openxmlformats.org/officeDocument/2006/relationships/hyperlink" Target="https://artificialintelligenceact.eu/annex/6/" TargetMode="External"/><Relationship Id="rId41" Type="http://schemas.openxmlformats.org/officeDocument/2006/relationships/hyperlink" Target="https://artificialintelligenceact.eu/article/6/" TargetMode="External"/><Relationship Id="rId62" Type="http://schemas.openxmlformats.org/officeDocument/2006/relationships/hyperlink" Target="https://artificialintelligenceact.eu/article/43/" TargetMode="External"/><Relationship Id="rId83" Type="http://schemas.openxmlformats.org/officeDocument/2006/relationships/hyperlink" Target="https://artificialintelligenceact.eu/annex/4/" TargetMode="External"/><Relationship Id="rId88" Type="http://schemas.openxmlformats.org/officeDocument/2006/relationships/hyperlink" Target="https://artificialintelligenceact.eu/annex/4/" TargetMode="External"/><Relationship Id="rId111" Type="http://schemas.openxmlformats.org/officeDocument/2006/relationships/hyperlink" Target="https://artificialintelligenceact.eu/article/55/" TargetMode="External"/><Relationship Id="rId132" Type="http://schemas.openxmlformats.org/officeDocument/2006/relationships/hyperlink" Target="https://artificialintelligenceact.eu/annex/2/" TargetMode="External"/><Relationship Id="rId153" Type="http://schemas.openxmlformats.org/officeDocument/2006/relationships/hyperlink" Target="https://artificialintelligenceact.eu/article/73/" TargetMode="External"/><Relationship Id="rId174" Type="http://schemas.openxmlformats.org/officeDocument/2006/relationships/hyperlink" Target="https://artificialintelligenceact.eu/article/25/" TargetMode="External"/><Relationship Id="rId179" Type="http://schemas.openxmlformats.org/officeDocument/2006/relationships/hyperlink" Target="https://www.nist.gov/artificial-intelligence/risk-management-framework" TargetMode="External"/><Relationship Id="rId15" Type="http://schemas.openxmlformats.org/officeDocument/2006/relationships/hyperlink" Target="https://artificialintelligenceact.eu/article/43/" TargetMode="External"/><Relationship Id="rId36" Type="http://schemas.openxmlformats.org/officeDocument/2006/relationships/hyperlink" Target="https://artificialintelligenceact.eu/article/43/" TargetMode="External"/><Relationship Id="rId57" Type="http://schemas.openxmlformats.org/officeDocument/2006/relationships/hyperlink" Target="https://artificialintelligenceact.eu/article/10/" TargetMode="External"/><Relationship Id="rId106" Type="http://schemas.openxmlformats.org/officeDocument/2006/relationships/hyperlink" Target="https://artificialintelligenceact.eu/article/53/" TargetMode="External"/><Relationship Id="rId127" Type="http://schemas.openxmlformats.org/officeDocument/2006/relationships/hyperlink" Target="https://artificialintelligenceact.eu/article/86/" TargetMode="External"/><Relationship Id="rId10" Type="http://schemas.openxmlformats.org/officeDocument/2006/relationships/hyperlink" Target="https://artificialintelligenceact.eu/annex/7/" TargetMode="External"/><Relationship Id="rId31" Type="http://schemas.openxmlformats.org/officeDocument/2006/relationships/hyperlink" Target="https://artificialintelligenceact.eu/article/48/" TargetMode="External"/><Relationship Id="rId52" Type="http://schemas.openxmlformats.org/officeDocument/2006/relationships/hyperlink" Target="https://artificialintelligenceact.eu/article/27/" TargetMode="External"/><Relationship Id="rId73" Type="http://schemas.openxmlformats.org/officeDocument/2006/relationships/hyperlink" Target="https://artificialintelligenceact.eu/article/9/" TargetMode="External"/><Relationship Id="rId78" Type="http://schemas.openxmlformats.org/officeDocument/2006/relationships/hyperlink" Target="https://artificialintelligenceact.eu/article/48/" TargetMode="External"/><Relationship Id="rId94" Type="http://schemas.openxmlformats.org/officeDocument/2006/relationships/hyperlink" Target="https://artificialintelligenceact.eu/article/26/" TargetMode="External"/><Relationship Id="rId99" Type="http://schemas.openxmlformats.org/officeDocument/2006/relationships/hyperlink" Target="https://artificialintelligenceact.eu/article/15/" TargetMode="External"/><Relationship Id="rId101" Type="http://schemas.openxmlformats.org/officeDocument/2006/relationships/hyperlink" Target="https://artificialintelligenceact.eu/article/53/" TargetMode="External"/><Relationship Id="rId122" Type="http://schemas.openxmlformats.org/officeDocument/2006/relationships/hyperlink" Target="https://artificialintelligenceact.eu/article/5/" TargetMode="External"/><Relationship Id="rId143" Type="http://schemas.openxmlformats.org/officeDocument/2006/relationships/hyperlink" Target="https://artificialintelligenceact.eu/article/57/" TargetMode="External"/><Relationship Id="rId148" Type="http://schemas.openxmlformats.org/officeDocument/2006/relationships/hyperlink" Target="https://artificialintelligenceact.eu/article/57/" TargetMode="External"/><Relationship Id="rId164" Type="http://schemas.openxmlformats.org/officeDocument/2006/relationships/hyperlink" Target="https://artificialintelligenceact.eu/article/51/" TargetMode="External"/><Relationship Id="rId169" Type="http://schemas.openxmlformats.org/officeDocument/2006/relationships/hyperlink" Target="https://artificialintelligenceact.eu/article/5/" TargetMode="External"/><Relationship Id="rId4" Type="http://schemas.openxmlformats.org/officeDocument/2006/relationships/webSettings" Target="webSettings.xml"/><Relationship Id="rId9" Type="http://schemas.openxmlformats.org/officeDocument/2006/relationships/hyperlink" Target="https://artificialintelligenceact.eu/article/41/" TargetMode="External"/><Relationship Id="rId180" Type="http://schemas.openxmlformats.org/officeDocument/2006/relationships/hyperlink" Target="https://www.iso.org/standard/81230.html" TargetMode="External"/><Relationship Id="rId26" Type="http://schemas.openxmlformats.org/officeDocument/2006/relationships/hyperlink" Target="https://artificialintelligenceact.eu/article/13/" TargetMode="External"/><Relationship Id="rId47" Type="http://schemas.openxmlformats.org/officeDocument/2006/relationships/hyperlink" Target="https://artificialintelligenceact.eu/article/27/" TargetMode="External"/><Relationship Id="rId68" Type="http://schemas.openxmlformats.org/officeDocument/2006/relationships/hyperlink" Target="https://artificialintelligenceact.eu/article/15/" TargetMode="External"/><Relationship Id="rId89" Type="http://schemas.openxmlformats.org/officeDocument/2006/relationships/hyperlink" Target="https://artificialintelligenceact.eu/article/14/" TargetMode="External"/><Relationship Id="rId112" Type="http://schemas.openxmlformats.org/officeDocument/2006/relationships/hyperlink" Target="https://artificialintelligenceact.eu/article/53/" TargetMode="External"/><Relationship Id="rId133" Type="http://schemas.openxmlformats.org/officeDocument/2006/relationships/hyperlink" Target="https://artificialintelligenceact.eu/article/5/" TargetMode="External"/><Relationship Id="rId154" Type="http://schemas.openxmlformats.org/officeDocument/2006/relationships/hyperlink" Target="https://artificialintelligenceact.eu/article/26/" TargetMode="External"/><Relationship Id="rId175" Type="http://schemas.openxmlformats.org/officeDocument/2006/relationships/hyperlink" Target="https://artificialintelligenceact.eu/article/43/" TargetMode="External"/><Relationship Id="rId16" Type="http://schemas.openxmlformats.org/officeDocument/2006/relationships/hyperlink" Target="https://artificialintelligenceact.eu/article/43/" TargetMode="External"/><Relationship Id="rId37" Type="http://schemas.openxmlformats.org/officeDocument/2006/relationships/hyperlink" Target="https://artificialintelligenceact.eu/annex/4/" TargetMode="External"/><Relationship Id="rId58" Type="http://schemas.openxmlformats.org/officeDocument/2006/relationships/hyperlink" Target="https://artificialintelligenceact.eu/article/10/" TargetMode="External"/><Relationship Id="rId79" Type="http://schemas.openxmlformats.org/officeDocument/2006/relationships/hyperlink" Target="https://artificialintelligenceact.eu/article/27/" TargetMode="External"/><Relationship Id="rId102" Type="http://schemas.openxmlformats.org/officeDocument/2006/relationships/hyperlink" Target="https://artificialintelligenceact.eu/article/55/" TargetMode="External"/><Relationship Id="rId123" Type="http://schemas.openxmlformats.org/officeDocument/2006/relationships/hyperlink" Target="https://artificialintelligenceact.eu/article/99/" TargetMode="External"/><Relationship Id="rId144" Type="http://schemas.openxmlformats.org/officeDocument/2006/relationships/hyperlink" Target="https://artificialintelligenceact.eu/article/57/" TargetMode="External"/><Relationship Id="rId90" Type="http://schemas.openxmlformats.org/officeDocument/2006/relationships/hyperlink" Target="https://artificialintelligenceact.eu/article/14/" TargetMode="External"/><Relationship Id="rId165" Type="http://schemas.openxmlformats.org/officeDocument/2006/relationships/hyperlink" Target="https://artificialintelligenceact.eu/annex/11/" TargetMode="External"/><Relationship Id="rId27" Type="http://schemas.openxmlformats.org/officeDocument/2006/relationships/hyperlink" Target="https://artificialintelligenceact.eu/article/14/" TargetMode="External"/><Relationship Id="rId48" Type="http://schemas.openxmlformats.org/officeDocument/2006/relationships/hyperlink" Target="https://artificialintelligenceact.eu/article/27/" TargetMode="External"/><Relationship Id="rId69" Type="http://schemas.openxmlformats.org/officeDocument/2006/relationships/hyperlink" Target="https://artificialintelligenceact.eu/article/9/" TargetMode="External"/><Relationship Id="rId113" Type="http://schemas.openxmlformats.org/officeDocument/2006/relationships/hyperlink" Target="https://artificialintelligenceact.eu/article/56/" TargetMode="External"/><Relationship Id="rId134" Type="http://schemas.openxmlformats.org/officeDocument/2006/relationships/hyperlink" Target="https://artificialintelligenceact.eu/article/5/" TargetMode="External"/><Relationship Id="rId80" Type="http://schemas.openxmlformats.org/officeDocument/2006/relationships/hyperlink" Target="https://artificialintelligenceact.eu/article/5/" TargetMode="External"/><Relationship Id="rId155" Type="http://schemas.openxmlformats.org/officeDocument/2006/relationships/hyperlink" Target="https://artificialintelligenceact.eu/article/73/" TargetMode="External"/><Relationship Id="rId176" Type="http://schemas.openxmlformats.org/officeDocument/2006/relationships/hyperlink" Target="https://eur-lex.europa.eu/eli/reg/2024/1689/oj/eng" TargetMode="External"/><Relationship Id="rId17" Type="http://schemas.openxmlformats.org/officeDocument/2006/relationships/hyperlink" Target="https://artificialintelligenceact.eu/article/43/" TargetMode="External"/><Relationship Id="rId38" Type="http://schemas.openxmlformats.org/officeDocument/2006/relationships/hyperlink" Target="https://artificialintelligenceact.eu/article/3/" TargetMode="External"/><Relationship Id="rId59" Type="http://schemas.openxmlformats.org/officeDocument/2006/relationships/hyperlink" Target="https://artificialintelligenceact.eu/article/43/" TargetMode="External"/><Relationship Id="rId103" Type="http://schemas.openxmlformats.org/officeDocument/2006/relationships/hyperlink" Target="https://artificialintelligenceact.eu/annex/13/" TargetMode="External"/><Relationship Id="rId124" Type="http://schemas.openxmlformats.org/officeDocument/2006/relationships/hyperlink" Target="https://artificialintelligenceact.eu/article/99/" TargetMode="External"/><Relationship Id="rId70" Type="http://schemas.openxmlformats.org/officeDocument/2006/relationships/hyperlink" Target="https://artificialintelligenceact.eu/article/72/" TargetMode="External"/><Relationship Id="rId91" Type="http://schemas.openxmlformats.org/officeDocument/2006/relationships/hyperlink" Target="https://artificialintelligenceact.eu/article/14/" TargetMode="External"/><Relationship Id="rId145" Type="http://schemas.openxmlformats.org/officeDocument/2006/relationships/hyperlink" Target="https://artificialintelligenceact.eu/article/57/" TargetMode="External"/><Relationship Id="rId166" Type="http://schemas.openxmlformats.org/officeDocument/2006/relationships/hyperlink" Target="https://artificialintelligenceact.eu/annex/12/" TargetMode="External"/><Relationship Id="rId1" Type="http://schemas.openxmlformats.org/officeDocument/2006/relationships/numbering" Target="numbering.xml"/><Relationship Id="rId28" Type="http://schemas.openxmlformats.org/officeDocument/2006/relationships/hyperlink" Target="https://artificialintelligenceact.eu/article/15/" TargetMode="External"/><Relationship Id="rId49" Type="http://schemas.openxmlformats.org/officeDocument/2006/relationships/hyperlink" Target="https://artificialintelligenceact.eu/article/27/" TargetMode="External"/><Relationship Id="rId114" Type="http://schemas.openxmlformats.org/officeDocument/2006/relationships/hyperlink" Target="https://artificialintelligenceact.eu/article/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252</Words>
  <Characters>55400</Characters>
  <Application>Microsoft Office Word</Application>
  <DocSecurity>0</DocSecurity>
  <Lines>636</Lines>
  <Paragraphs>1</Paragraphs>
  <ScaleCrop>false</ScaleCrop>
  <Company/>
  <LinksUpToDate>false</LinksUpToDate>
  <CharactersWithSpaces>55651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Derrick Jackson</dc:creator>
  <cp:keywords/>
  <dc:description/>
  <cp:lastModifiedBy>Derrick Jackson</cp:lastModifiedBy>
  <cp:revision>1</cp:revision>
  <dcterms:created xsi:type="dcterms:W3CDTF">2026-02-24T13:25:00Z</dcterms:created>
  <dcterms:modified xsi:type="dcterms:W3CDTF">2026-02-24T13:25:00Z</dcterms:modified>
</cp:coreProperties>
</file>